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theme/themeOverride1.xml" ContentType="application/vnd.openxmlformats-officedocument.themeOverride+xml"/>
  <Override PartName="/word/drawings/drawing6.xml" ContentType="application/vnd.openxmlformats-officedocument.drawingml.chartshapes+xml"/>
  <Override PartName="/word/charts/chart7.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7AE" w:rsidRDefault="009403DE" w:rsidP="006037AE">
      <w:bookmarkStart w:id="0" w:name="_GoBack"/>
      <w:bookmarkEnd w:id="0"/>
      <w:r>
        <w:rPr>
          <w:noProof/>
          <w:lang w:val="en-US"/>
        </w:rPr>
        <w:drawing>
          <wp:anchor distT="0" distB="0" distL="114300" distR="114300" simplePos="0" relativeHeight="251657728" behindDoc="0" locked="0" layoutInCell="1" allowOverlap="1">
            <wp:simplePos x="0" y="0"/>
            <wp:positionH relativeFrom="column">
              <wp:posOffset>698500</wp:posOffset>
            </wp:positionH>
            <wp:positionV relativeFrom="paragraph">
              <wp:posOffset>118110</wp:posOffset>
            </wp:positionV>
            <wp:extent cx="4330700" cy="1801495"/>
            <wp:effectExtent l="0" t="0" r="0" b="825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0700" cy="18014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37AE" w:rsidRDefault="006037AE" w:rsidP="006037AE"/>
    <w:p w:rsidR="00492C70" w:rsidRDefault="00492C70" w:rsidP="006037AE"/>
    <w:p w:rsidR="00E94D5E" w:rsidRDefault="00E94D5E" w:rsidP="006037AE"/>
    <w:p w:rsidR="0025134D" w:rsidRDefault="0025134D" w:rsidP="006037AE"/>
    <w:p w:rsidR="0025134D" w:rsidRDefault="0025134D" w:rsidP="006037AE"/>
    <w:p w:rsidR="0025134D" w:rsidRDefault="0025134D" w:rsidP="006037AE"/>
    <w:p w:rsidR="0025134D" w:rsidRDefault="0025134D" w:rsidP="006037AE"/>
    <w:p w:rsidR="00E94D5E" w:rsidRDefault="00E94D5E" w:rsidP="006037AE"/>
    <w:p w:rsidR="00492C70" w:rsidRDefault="00492C70" w:rsidP="006037AE"/>
    <w:p w:rsidR="00492C70" w:rsidRDefault="00492C70" w:rsidP="00E94D5E">
      <w:pPr>
        <w:pBdr>
          <w:top w:val="single" w:sz="24" w:space="1" w:color="17365D"/>
        </w:pBdr>
      </w:pPr>
    </w:p>
    <w:p w:rsidR="00492C70" w:rsidRDefault="00492C70" w:rsidP="006037AE"/>
    <w:p w:rsidR="00492C70" w:rsidRPr="00E94D5E" w:rsidRDefault="00492C70" w:rsidP="00E94D5E">
      <w:pPr>
        <w:jc w:val="center"/>
        <w:rPr>
          <w:b/>
          <w:color w:val="17365D"/>
          <w:sz w:val="52"/>
        </w:rPr>
      </w:pPr>
      <w:r w:rsidRPr="00E94D5E">
        <w:rPr>
          <w:b/>
          <w:color w:val="17365D"/>
          <w:sz w:val="52"/>
        </w:rPr>
        <w:t>SMARTGROWTH UPDATE</w:t>
      </w:r>
    </w:p>
    <w:p w:rsidR="006037AE" w:rsidRDefault="006037AE" w:rsidP="006037AE"/>
    <w:p w:rsidR="00492C70" w:rsidRDefault="00492C70" w:rsidP="00E94D5E">
      <w:pPr>
        <w:pBdr>
          <w:bottom w:val="single" w:sz="24" w:space="1" w:color="17365D"/>
        </w:pBdr>
      </w:pPr>
    </w:p>
    <w:p w:rsidR="00492C70" w:rsidRDefault="00492C70" w:rsidP="006037AE"/>
    <w:p w:rsidR="00492C70" w:rsidRDefault="00492C70" w:rsidP="006037AE"/>
    <w:p w:rsidR="00492C70" w:rsidRDefault="00492C70" w:rsidP="006037AE"/>
    <w:p w:rsidR="00E94D5E" w:rsidRPr="006C5F69" w:rsidRDefault="00E94D5E" w:rsidP="006037AE">
      <w:pPr>
        <w:rPr>
          <w:sz w:val="28"/>
        </w:rPr>
      </w:pPr>
    </w:p>
    <w:p w:rsidR="00492C70" w:rsidRDefault="00D7456B" w:rsidP="00492C70">
      <w:pPr>
        <w:jc w:val="center"/>
      </w:pPr>
      <w:r>
        <w:rPr>
          <w:b/>
          <w:sz w:val="28"/>
          <w:lang w:val="en-US"/>
        </w:rPr>
        <w:t>The Implications</w:t>
      </w:r>
      <w:r w:rsidR="008C78D8">
        <w:rPr>
          <w:b/>
          <w:sz w:val="28"/>
          <w:lang w:val="en-US"/>
        </w:rPr>
        <w:t xml:space="preserve"> </w:t>
      </w:r>
      <w:r>
        <w:rPr>
          <w:b/>
          <w:sz w:val="28"/>
          <w:lang w:val="en-US"/>
        </w:rPr>
        <w:t>and Opportunities of an Ageing Population in the Western Bay of Plenty Sub-region</w:t>
      </w:r>
    </w:p>
    <w:p w:rsidR="00492C70" w:rsidRDefault="00492C70" w:rsidP="00E94D5E"/>
    <w:p w:rsidR="00E94D5E" w:rsidRDefault="00E94D5E" w:rsidP="00E94D5E"/>
    <w:p w:rsidR="00E94D5E" w:rsidRDefault="00E94D5E" w:rsidP="00E94D5E"/>
    <w:p w:rsidR="00E94D5E" w:rsidRDefault="00E94D5E" w:rsidP="00E94D5E"/>
    <w:p w:rsidR="00E94D5E" w:rsidRDefault="00E94D5E" w:rsidP="00E94D5E"/>
    <w:p w:rsidR="00E94D5E" w:rsidRDefault="00E94D5E" w:rsidP="00E94D5E"/>
    <w:p w:rsidR="00E94D5E" w:rsidRDefault="00E94D5E" w:rsidP="00E94D5E"/>
    <w:p w:rsidR="00E94D5E" w:rsidRDefault="00E94D5E" w:rsidP="00E94D5E"/>
    <w:p w:rsidR="00E94D5E" w:rsidRDefault="00E94D5E" w:rsidP="00E94D5E"/>
    <w:p w:rsidR="00E94D5E" w:rsidRDefault="00E94D5E" w:rsidP="00E94D5E"/>
    <w:p w:rsidR="00E94D5E" w:rsidRDefault="00E94D5E" w:rsidP="00E94D5E"/>
    <w:p w:rsidR="00E94D5E" w:rsidRDefault="00E94D5E" w:rsidP="00E94D5E"/>
    <w:p w:rsidR="00E94D5E" w:rsidRDefault="008C78D8" w:rsidP="00E94D5E">
      <w:r>
        <w:t>October</w:t>
      </w:r>
      <w:r w:rsidR="00D7456B">
        <w:t xml:space="preserve"> </w:t>
      </w:r>
      <w:r w:rsidR="006C5F69">
        <w:t>2012</w:t>
      </w:r>
    </w:p>
    <w:p w:rsidR="00E94D5E" w:rsidRDefault="00E94D5E" w:rsidP="00E94D5E"/>
    <w:p w:rsidR="00E94D5E" w:rsidRDefault="00E94D5E" w:rsidP="00E94D5E"/>
    <w:p w:rsidR="00E94D5E" w:rsidRDefault="00E94D5E" w:rsidP="00D7456B">
      <w:pPr>
        <w:tabs>
          <w:tab w:val="left" w:pos="1737"/>
        </w:tabs>
        <w:ind w:left="1737" w:hanging="1737"/>
      </w:pPr>
      <w:r w:rsidRPr="00E94D5E">
        <w:rPr>
          <w:b/>
        </w:rPr>
        <w:t xml:space="preserve">Prepared </w:t>
      </w:r>
      <w:r>
        <w:rPr>
          <w:b/>
        </w:rPr>
        <w:t>B</w:t>
      </w:r>
      <w:r w:rsidRPr="00E94D5E">
        <w:rPr>
          <w:b/>
        </w:rPr>
        <w:t>y:</w:t>
      </w:r>
      <w:r>
        <w:t xml:space="preserve"> </w:t>
      </w:r>
      <w:r w:rsidR="00D7456B">
        <w:tab/>
        <w:t>Rachael Davie – Policy, Planning &amp; Community Manager (Western Bay of Plenty District Council)</w:t>
      </w:r>
      <w:r w:rsidR="006C5F69">
        <w:t xml:space="preserve"> </w:t>
      </w:r>
    </w:p>
    <w:p w:rsidR="00D7456B" w:rsidRDefault="00D7456B" w:rsidP="00D7456B">
      <w:pPr>
        <w:tabs>
          <w:tab w:val="left" w:pos="1737"/>
        </w:tabs>
        <w:ind w:left="1737" w:hanging="1737"/>
        <w:rPr>
          <w:b/>
        </w:rPr>
      </w:pPr>
      <w:r>
        <w:rPr>
          <w:b/>
        </w:rPr>
        <w:tab/>
      </w:r>
    </w:p>
    <w:p w:rsidR="00D7456B" w:rsidRDefault="00D7456B" w:rsidP="00D7456B">
      <w:pPr>
        <w:tabs>
          <w:tab w:val="left" w:pos="1737"/>
        </w:tabs>
        <w:ind w:left="1737" w:hanging="1737"/>
      </w:pPr>
      <w:r>
        <w:tab/>
        <w:t xml:space="preserve">Carole Gordon - </w:t>
      </w:r>
      <w:r w:rsidR="00E86D2F">
        <w:t>Social Gerontologist/Consultant</w:t>
      </w:r>
    </w:p>
    <w:p w:rsidR="0025134D" w:rsidRDefault="0025134D" w:rsidP="0025134D">
      <w:pPr>
        <w:tabs>
          <w:tab w:val="left" w:pos="1737"/>
        </w:tabs>
        <w:ind w:left="1737"/>
      </w:pPr>
    </w:p>
    <w:p w:rsidR="0025134D" w:rsidRDefault="0025134D" w:rsidP="00E94D5E"/>
    <w:p w:rsidR="00E94D5E" w:rsidRDefault="00E94D5E" w:rsidP="00E94D5E">
      <w:pPr>
        <w:sectPr w:rsidR="00E94D5E" w:rsidSect="00492C70">
          <w:headerReference w:type="even" r:id="rId10"/>
          <w:footerReference w:type="default" r:id="rId11"/>
          <w:pgSz w:w="11906" w:h="16838" w:code="9"/>
          <w:pgMar w:top="1152" w:right="1440" w:bottom="720" w:left="1440" w:header="720" w:footer="432" w:gutter="0"/>
          <w:cols w:space="720"/>
          <w:titlePg/>
          <w:docGrid w:linePitch="299"/>
        </w:sectPr>
      </w:pPr>
    </w:p>
    <w:p w:rsidR="00E94D5E" w:rsidRDefault="00E94D5E" w:rsidP="00E94D5E"/>
    <w:p w:rsidR="00E94D5E" w:rsidRPr="00E94D5E" w:rsidRDefault="00E94D5E" w:rsidP="00E94D5E">
      <w:pPr>
        <w:jc w:val="center"/>
        <w:rPr>
          <w:b/>
          <w:sz w:val="34"/>
          <w:u w:val="single"/>
        </w:rPr>
      </w:pPr>
      <w:r w:rsidRPr="00E94D5E">
        <w:rPr>
          <w:b/>
          <w:sz w:val="34"/>
          <w:u w:val="single"/>
        </w:rPr>
        <w:t>Table of Contents</w:t>
      </w:r>
    </w:p>
    <w:p w:rsidR="00E94D5E" w:rsidRDefault="00E94D5E" w:rsidP="00E94D5E"/>
    <w:p w:rsidR="00E94D5E" w:rsidRDefault="00E94D5E" w:rsidP="00E94D5E"/>
    <w:sdt>
      <w:sdtPr>
        <w:rPr>
          <w:rFonts w:ascii="Arial" w:eastAsia="Times New Roman" w:hAnsi="Arial" w:cs="Arial"/>
          <w:b w:val="0"/>
          <w:bCs w:val="0"/>
          <w:color w:val="auto"/>
          <w:sz w:val="22"/>
          <w:szCs w:val="22"/>
          <w:lang w:val="en-NZ" w:eastAsia="en-US"/>
        </w:rPr>
        <w:id w:val="983425452"/>
        <w:docPartObj>
          <w:docPartGallery w:val="Table of Contents"/>
          <w:docPartUnique/>
        </w:docPartObj>
      </w:sdtPr>
      <w:sdtEndPr>
        <w:rPr>
          <w:noProof/>
        </w:rPr>
      </w:sdtEndPr>
      <w:sdtContent>
        <w:p w:rsidR="0033729F" w:rsidRPr="004D3CA7" w:rsidRDefault="0033729F">
          <w:pPr>
            <w:pStyle w:val="TOCHeading"/>
            <w:rPr>
              <w:rFonts w:ascii="Arial" w:hAnsi="Arial" w:cs="Arial"/>
            </w:rPr>
          </w:pPr>
          <w:r w:rsidRPr="004D3CA7">
            <w:rPr>
              <w:rFonts w:ascii="Arial" w:hAnsi="Arial" w:cs="Arial"/>
            </w:rPr>
            <w:t>Contents</w:t>
          </w:r>
        </w:p>
        <w:p w:rsidR="00A52B3E" w:rsidRDefault="00A52B3E">
          <w:pPr>
            <w:pStyle w:val="TOC1"/>
            <w:rPr>
              <w:rFonts w:asciiTheme="minorHAnsi" w:eastAsiaTheme="minorEastAsia" w:hAnsiTheme="minorHAnsi" w:cstheme="minorBidi"/>
              <w:b w:val="0"/>
              <w:lang w:eastAsia="en-NZ"/>
            </w:rPr>
          </w:pPr>
          <w:r>
            <w:fldChar w:fldCharType="begin"/>
          </w:r>
          <w:r>
            <w:instrText xml:space="preserve"> TOC \o "1-2" \h \z \u </w:instrText>
          </w:r>
          <w:r>
            <w:fldChar w:fldCharType="separate"/>
          </w:r>
          <w:hyperlink w:anchor="_Toc340245214" w:history="1">
            <w:r w:rsidRPr="00FF15D5">
              <w:rPr>
                <w:rStyle w:val="Hyperlink"/>
                <w:caps/>
              </w:rPr>
              <w:t>1</w:t>
            </w:r>
            <w:r>
              <w:rPr>
                <w:rFonts w:asciiTheme="minorHAnsi" w:eastAsiaTheme="minorEastAsia" w:hAnsiTheme="minorHAnsi" w:cstheme="minorBidi"/>
                <w:b w:val="0"/>
                <w:lang w:eastAsia="en-NZ"/>
              </w:rPr>
              <w:tab/>
            </w:r>
            <w:r w:rsidRPr="00FF15D5">
              <w:rPr>
                <w:rStyle w:val="Hyperlink"/>
              </w:rPr>
              <w:t>EXECUTIVE SUMMARY</w:t>
            </w:r>
            <w:r>
              <w:rPr>
                <w:webHidden/>
              </w:rPr>
              <w:tab/>
            </w:r>
            <w:r>
              <w:rPr>
                <w:webHidden/>
              </w:rPr>
              <w:fldChar w:fldCharType="begin"/>
            </w:r>
            <w:r>
              <w:rPr>
                <w:webHidden/>
              </w:rPr>
              <w:instrText xml:space="preserve"> PAGEREF _Toc340245214 \h </w:instrText>
            </w:r>
            <w:r>
              <w:rPr>
                <w:webHidden/>
              </w:rPr>
            </w:r>
            <w:r>
              <w:rPr>
                <w:webHidden/>
              </w:rPr>
              <w:fldChar w:fldCharType="separate"/>
            </w:r>
            <w:r>
              <w:rPr>
                <w:webHidden/>
              </w:rPr>
              <w:t>1</w:t>
            </w:r>
            <w:r>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15" w:history="1">
            <w:r w:rsidR="00A52B3E" w:rsidRPr="00FF15D5">
              <w:rPr>
                <w:rStyle w:val="Hyperlink"/>
              </w:rPr>
              <w:t>1.1</w:t>
            </w:r>
            <w:r w:rsidR="00A52B3E">
              <w:rPr>
                <w:rFonts w:asciiTheme="minorHAnsi" w:eastAsiaTheme="minorEastAsia" w:hAnsiTheme="minorHAnsi" w:cstheme="minorBidi"/>
                <w:sz w:val="22"/>
                <w:lang w:eastAsia="en-NZ"/>
              </w:rPr>
              <w:tab/>
            </w:r>
            <w:r w:rsidR="00A52B3E" w:rsidRPr="00FF15D5">
              <w:rPr>
                <w:rStyle w:val="Hyperlink"/>
              </w:rPr>
              <w:t>Purpose of the research</w:t>
            </w:r>
            <w:r w:rsidR="00A52B3E">
              <w:rPr>
                <w:webHidden/>
              </w:rPr>
              <w:tab/>
            </w:r>
            <w:r w:rsidR="00A52B3E">
              <w:rPr>
                <w:webHidden/>
              </w:rPr>
              <w:fldChar w:fldCharType="begin"/>
            </w:r>
            <w:r w:rsidR="00A52B3E">
              <w:rPr>
                <w:webHidden/>
              </w:rPr>
              <w:instrText xml:space="preserve"> PAGEREF _Toc340245215 \h </w:instrText>
            </w:r>
            <w:r w:rsidR="00A52B3E">
              <w:rPr>
                <w:webHidden/>
              </w:rPr>
            </w:r>
            <w:r w:rsidR="00A52B3E">
              <w:rPr>
                <w:webHidden/>
              </w:rPr>
              <w:fldChar w:fldCharType="separate"/>
            </w:r>
            <w:r w:rsidR="00A52B3E">
              <w:rPr>
                <w:webHidden/>
              </w:rPr>
              <w:t>1</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16" w:history="1">
            <w:r w:rsidR="00A52B3E" w:rsidRPr="00FF15D5">
              <w:rPr>
                <w:rStyle w:val="Hyperlink"/>
              </w:rPr>
              <w:t>1.2</w:t>
            </w:r>
            <w:r w:rsidR="00A52B3E">
              <w:rPr>
                <w:rFonts w:asciiTheme="minorHAnsi" w:eastAsiaTheme="minorEastAsia" w:hAnsiTheme="minorHAnsi" w:cstheme="minorBidi"/>
                <w:sz w:val="22"/>
                <w:lang w:eastAsia="en-NZ"/>
              </w:rPr>
              <w:tab/>
            </w:r>
            <w:r w:rsidR="00A52B3E" w:rsidRPr="00FF15D5">
              <w:rPr>
                <w:rStyle w:val="Hyperlink"/>
              </w:rPr>
              <w:t>Background</w:t>
            </w:r>
            <w:r w:rsidR="00A52B3E">
              <w:rPr>
                <w:webHidden/>
              </w:rPr>
              <w:tab/>
            </w:r>
            <w:r w:rsidR="00A52B3E">
              <w:rPr>
                <w:webHidden/>
              </w:rPr>
              <w:fldChar w:fldCharType="begin"/>
            </w:r>
            <w:r w:rsidR="00A52B3E">
              <w:rPr>
                <w:webHidden/>
              </w:rPr>
              <w:instrText xml:space="preserve"> PAGEREF _Toc340245216 \h </w:instrText>
            </w:r>
            <w:r w:rsidR="00A52B3E">
              <w:rPr>
                <w:webHidden/>
              </w:rPr>
            </w:r>
            <w:r w:rsidR="00A52B3E">
              <w:rPr>
                <w:webHidden/>
              </w:rPr>
              <w:fldChar w:fldCharType="separate"/>
            </w:r>
            <w:r w:rsidR="00A52B3E">
              <w:rPr>
                <w:webHidden/>
              </w:rPr>
              <w:t>1</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17" w:history="1">
            <w:r w:rsidR="00A52B3E" w:rsidRPr="00FF15D5">
              <w:rPr>
                <w:rStyle w:val="Hyperlink"/>
              </w:rPr>
              <w:t>1.3</w:t>
            </w:r>
            <w:r w:rsidR="00A52B3E">
              <w:rPr>
                <w:rFonts w:asciiTheme="minorHAnsi" w:eastAsiaTheme="minorEastAsia" w:hAnsiTheme="minorHAnsi" w:cstheme="minorBidi"/>
                <w:sz w:val="22"/>
                <w:lang w:eastAsia="en-NZ"/>
              </w:rPr>
              <w:tab/>
            </w:r>
            <w:r w:rsidR="00A52B3E" w:rsidRPr="00FF15D5">
              <w:rPr>
                <w:rStyle w:val="Hyperlink"/>
              </w:rPr>
              <w:t>Implications of population ageing in the sub-region</w:t>
            </w:r>
            <w:r w:rsidR="00A52B3E">
              <w:rPr>
                <w:webHidden/>
              </w:rPr>
              <w:tab/>
            </w:r>
            <w:r w:rsidR="00A52B3E">
              <w:rPr>
                <w:webHidden/>
              </w:rPr>
              <w:fldChar w:fldCharType="begin"/>
            </w:r>
            <w:r w:rsidR="00A52B3E">
              <w:rPr>
                <w:webHidden/>
              </w:rPr>
              <w:instrText xml:space="preserve"> PAGEREF _Toc340245217 \h </w:instrText>
            </w:r>
            <w:r w:rsidR="00A52B3E">
              <w:rPr>
                <w:webHidden/>
              </w:rPr>
            </w:r>
            <w:r w:rsidR="00A52B3E">
              <w:rPr>
                <w:webHidden/>
              </w:rPr>
              <w:fldChar w:fldCharType="separate"/>
            </w:r>
            <w:r w:rsidR="00A52B3E">
              <w:rPr>
                <w:webHidden/>
              </w:rPr>
              <w:t>2</w:t>
            </w:r>
            <w:r w:rsidR="00A52B3E">
              <w:rPr>
                <w:webHidden/>
              </w:rPr>
              <w:fldChar w:fldCharType="end"/>
            </w:r>
          </w:hyperlink>
        </w:p>
        <w:p w:rsidR="00A52B3E" w:rsidRDefault="00414DFB">
          <w:pPr>
            <w:pStyle w:val="TOC1"/>
            <w:rPr>
              <w:rFonts w:asciiTheme="minorHAnsi" w:eastAsiaTheme="minorEastAsia" w:hAnsiTheme="minorHAnsi" w:cstheme="minorBidi"/>
              <w:b w:val="0"/>
              <w:lang w:eastAsia="en-NZ"/>
            </w:rPr>
          </w:pPr>
          <w:hyperlink w:anchor="_Toc340245218" w:history="1">
            <w:r w:rsidR="00A52B3E" w:rsidRPr="00FF15D5">
              <w:rPr>
                <w:rStyle w:val="Hyperlink"/>
                <w:caps/>
              </w:rPr>
              <w:t>2</w:t>
            </w:r>
            <w:r w:rsidR="00A52B3E">
              <w:rPr>
                <w:rFonts w:asciiTheme="minorHAnsi" w:eastAsiaTheme="minorEastAsia" w:hAnsiTheme="minorHAnsi" w:cstheme="minorBidi"/>
                <w:b w:val="0"/>
                <w:lang w:eastAsia="en-NZ"/>
              </w:rPr>
              <w:tab/>
            </w:r>
            <w:r w:rsidR="00A52B3E" w:rsidRPr="00FF15D5">
              <w:rPr>
                <w:rStyle w:val="Hyperlink"/>
              </w:rPr>
              <w:t>SUMMARY OF ACTIONS FOR THE UPDATED SMARTGROWTH STRATEGY</w:t>
            </w:r>
            <w:r w:rsidR="00A52B3E">
              <w:rPr>
                <w:webHidden/>
              </w:rPr>
              <w:tab/>
            </w:r>
            <w:r w:rsidR="00A52B3E">
              <w:rPr>
                <w:webHidden/>
              </w:rPr>
              <w:fldChar w:fldCharType="begin"/>
            </w:r>
            <w:r w:rsidR="00A52B3E">
              <w:rPr>
                <w:webHidden/>
              </w:rPr>
              <w:instrText xml:space="preserve"> PAGEREF _Toc340245218 \h </w:instrText>
            </w:r>
            <w:r w:rsidR="00A52B3E">
              <w:rPr>
                <w:webHidden/>
              </w:rPr>
            </w:r>
            <w:r w:rsidR="00A52B3E">
              <w:rPr>
                <w:webHidden/>
              </w:rPr>
              <w:fldChar w:fldCharType="separate"/>
            </w:r>
            <w:r w:rsidR="00A52B3E">
              <w:rPr>
                <w:webHidden/>
              </w:rPr>
              <w:t>5</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19" w:history="1">
            <w:r w:rsidR="00A52B3E" w:rsidRPr="00FF15D5">
              <w:rPr>
                <w:rStyle w:val="Hyperlink"/>
              </w:rPr>
              <w:t>2.1</w:t>
            </w:r>
            <w:r w:rsidR="00A52B3E">
              <w:rPr>
                <w:rFonts w:asciiTheme="minorHAnsi" w:eastAsiaTheme="minorEastAsia" w:hAnsiTheme="minorHAnsi" w:cstheme="minorBidi"/>
                <w:sz w:val="22"/>
                <w:lang w:eastAsia="en-NZ"/>
              </w:rPr>
              <w:tab/>
            </w:r>
            <w:r w:rsidR="00A52B3E" w:rsidRPr="00FF15D5">
              <w:rPr>
                <w:rStyle w:val="Hyperlink"/>
              </w:rPr>
              <w:t>Collaboration, integration and governance</w:t>
            </w:r>
            <w:r w:rsidR="00A52B3E">
              <w:rPr>
                <w:webHidden/>
              </w:rPr>
              <w:tab/>
            </w:r>
            <w:r w:rsidR="00A52B3E">
              <w:rPr>
                <w:webHidden/>
              </w:rPr>
              <w:fldChar w:fldCharType="begin"/>
            </w:r>
            <w:r w:rsidR="00A52B3E">
              <w:rPr>
                <w:webHidden/>
              </w:rPr>
              <w:instrText xml:space="preserve"> PAGEREF _Toc340245219 \h </w:instrText>
            </w:r>
            <w:r w:rsidR="00A52B3E">
              <w:rPr>
                <w:webHidden/>
              </w:rPr>
            </w:r>
            <w:r w:rsidR="00A52B3E">
              <w:rPr>
                <w:webHidden/>
              </w:rPr>
              <w:fldChar w:fldCharType="separate"/>
            </w:r>
            <w:r w:rsidR="00A52B3E">
              <w:rPr>
                <w:webHidden/>
              </w:rPr>
              <w:t>5</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20" w:history="1">
            <w:r w:rsidR="00A52B3E" w:rsidRPr="00FF15D5">
              <w:rPr>
                <w:rStyle w:val="Hyperlink"/>
              </w:rPr>
              <w:t>2.2</w:t>
            </w:r>
            <w:r w:rsidR="00A52B3E">
              <w:rPr>
                <w:rFonts w:asciiTheme="minorHAnsi" w:eastAsiaTheme="minorEastAsia" w:hAnsiTheme="minorHAnsi" w:cstheme="minorBidi"/>
                <w:sz w:val="22"/>
                <w:lang w:eastAsia="en-NZ"/>
              </w:rPr>
              <w:tab/>
            </w:r>
            <w:r w:rsidR="00A52B3E" w:rsidRPr="00FF15D5">
              <w:rPr>
                <w:rStyle w:val="Hyperlink"/>
              </w:rPr>
              <w:t>Economy/employment</w:t>
            </w:r>
            <w:r w:rsidR="00A52B3E">
              <w:rPr>
                <w:webHidden/>
              </w:rPr>
              <w:tab/>
            </w:r>
            <w:r w:rsidR="00A52B3E">
              <w:rPr>
                <w:webHidden/>
              </w:rPr>
              <w:fldChar w:fldCharType="begin"/>
            </w:r>
            <w:r w:rsidR="00A52B3E">
              <w:rPr>
                <w:webHidden/>
              </w:rPr>
              <w:instrText xml:space="preserve"> PAGEREF _Toc340245220 \h </w:instrText>
            </w:r>
            <w:r w:rsidR="00A52B3E">
              <w:rPr>
                <w:webHidden/>
              </w:rPr>
            </w:r>
            <w:r w:rsidR="00A52B3E">
              <w:rPr>
                <w:webHidden/>
              </w:rPr>
              <w:fldChar w:fldCharType="separate"/>
            </w:r>
            <w:r w:rsidR="00A52B3E">
              <w:rPr>
                <w:webHidden/>
              </w:rPr>
              <w:t>6</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21" w:history="1">
            <w:r w:rsidR="00A52B3E" w:rsidRPr="00FF15D5">
              <w:rPr>
                <w:rStyle w:val="Hyperlink"/>
              </w:rPr>
              <w:t>2.3</w:t>
            </w:r>
            <w:r w:rsidR="00A52B3E">
              <w:rPr>
                <w:rFonts w:asciiTheme="minorHAnsi" w:eastAsiaTheme="minorEastAsia" w:hAnsiTheme="minorHAnsi" w:cstheme="minorBidi"/>
                <w:sz w:val="22"/>
                <w:lang w:eastAsia="en-NZ"/>
              </w:rPr>
              <w:tab/>
            </w:r>
            <w:r w:rsidR="00A52B3E" w:rsidRPr="00FF15D5">
              <w:rPr>
                <w:rStyle w:val="Hyperlink"/>
              </w:rPr>
              <w:t>Liveable communities</w:t>
            </w:r>
            <w:r w:rsidR="00A52B3E">
              <w:rPr>
                <w:webHidden/>
              </w:rPr>
              <w:tab/>
            </w:r>
            <w:r w:rsidR="00A52B3E">
              <w:rPr>
                <w:webHidden/>
              </w:rPr>
              <w:fldChar w:fldCharType="begin"/>
            </w:r>
            <w:r w:rsidR="00A52B3E">
              <w:rPr>
                <w:webHidden/>
              </w:rPr>
              <w:instrText xml:space="preserve"> PAGEREF _Toc340245221 \h </w:instrText>
            </w:r>
            <w:r w:rsidR="00A52B3E">
              <w:rPr>
                <w:webHidden/>
              </w:rPr>
            </w:r>
            <w:r w:rsidR="00A52B3E">
              <w:rPr>
                <w:webHidden/>
              </w:rPr>
              <w:fldChar w:fldCharType="separate"/>
            </w:r>
            <w:r w:rsidR="00A52B3E">
              <w:rPr>
                <w:webHidden/>
              </w:rPr>
              <w:t>7</w:t>
            </w:r>
            <w:r w:rsidR="00A52B3E">
              <w:rPr>
                <w:webHidden/>
              </w:rPr>
              <w:fldChar w:fldCharType="end"/>
            </w:r>
          </w:hyperlink>
        </w:p>
        <w:p w:rsidR="00A52B3E" w:rsidRDefault="00414DFB">
          <w:pPr>
            <w:pStyle w:val="TOC1"/>
            <w:rPr>
              <w:rFonts w:asciiTheme="minorHAnsi" w:eastAsiaTheme="minorEastAsia" w:hAnsiTheme="minorHAnsi" w:cstheme="minorBidi"/>
              <w:b w:val="0"/>
              <w:lang w:eastAsia="en-NZ"/>
            </w:rPr>
          </w:pPr>
          <w:hyperlink w:anchor="_Toc340245222" w:history="1">
            <w:r w:rsidR="00A52B3E" w:rsidRPr="00FF15D5">
              <w:rPr>
                <w:rStyle w:val="Hyperlink"/>
                <w:caps/>
              </w:rPr>
              <w:t>3</w:t>
            </w:r>
            <w:r w:rsidR="00A52B3E">
              <w:rPr>
                <w:rFonts w:asciiTheme="minorHAnsi" w:eastAsiaTheme="minorEastAsia" w:hAnsiTheme="minorHAnsi" w:cstheme="minorBidi"/>
                <w:b w:val="0"/>
                <w:lang w:eastAsia="en-NZ"/>
              </w:rPr>
              <w:tab/>
            </w:r>
            <w:r w:rsidR="00A52B3E" w:rsidRPr="00FF15D5">
              <w:rPr>
                <w:rStyle w:val="Hyperlink"/>
              </w:rPr>
              <w:t>THE DEMOGRAPHIC TRANSITION TO AGEING POPULATIONS</w:t>
            </w:r>
            <w:r w:rsidR="00A52B3E">
              <w:rPr>
                <w:webHidden/>
              </w:rPr>
              <w:tab/>
            </w:r>
            <w:r w:rsidR="00A52B3E">
              <w:rPr>
                <w:webHidden/>
              </w:rPr>
              <w:fldChar w:fldCharType="begin"/>
            </w:r>
            <w:r w:rsidR="00A52B3E">
              <w:rPr>
                <w:webHidden/>
              </w:rPr>
              <w:instrText xml:space="preserve"> PAGEREF _Toc340245222 \h </w:instrText>
            </w:r>
            <w:r w:rsidR="00A52B3E">
              <w:rPr>
                <w:webHidden/>
              </w:rPr>
            </w:r>
            <w:r w:rsidR="00A52B3E">
              <w:rPr>
                <w:webHidden/>
              </w:rPr>
              <w:fldChar w:fldCharType="separate"/>
            </w:r>
            <w:r w:rsidR="00A52B3E">
              <w:rPr>
                <w:webHidden/>
              </w:rPr>
              <w:t>9</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23" w:history="1">
            <w:r w:rsidR="00A52B3E" w:rsidRPr="00FF15D5">
              <w:rPr>
                <w:rStyle w:val="Hyperlink"/>
              </w:rPr>
              <w:t>3.1</w:t>
            </w:r>
            <w:r w:rsidR="00A52B3E">
              <w:rPr>
                <w:rFonts w:asciiTheme="minorHAnsi" w:eastAsiaTheme="minorEastAsia" w:hAnsiTheme="minorHAnsi" w:cstheme="minorBidi"/>
                <w:sz w:val="22"/>
                <w:lang w:eastAsia="en-NZ"/>
              </w:rPr>
              <w:tab/>
            </w:r>
            <w:r w:rsidR="00A52B3E" w:rsidRPr="00FF15D5">
              <w:rPr>
                <w:rStyle w:val="Hyperlink"/>
              </w:rPr>
              <w:t>The phenomena of population ageing</w:t>
            </w:r>
            <w:r w:rsidR="00A52B3E">
              <w:rPr>
                <w:webHidden/>
              </w:rPr>
              <w:tab/>
            </w:r>
            <w:r w:rsidR="00A52B3E">
              <w:rPr>
                <w:webHidden/>
              </w:rPr>
              <w:fldChar w:fldCharType="begin"/>
            </w:r>
            <w:r w:rsidR="00A52B3E">
              <w:rPr>
                <w:webHidden/>
              </w:rPr>
              <w:instrText xml:space="preserve"> PAGEREF _Toc340245223 \h </w:instrText>
            </w:r>
            <w:r w:rsidR="00A52B3E">
              <w:rPr>
                <w:webHidden/>
              </w:rPr>
            </w:r>
            <w:r w:rsidR="00A52B3E">
              <w:rPr>
                <w:webHidden/>
              </w:rPr>
              <w:fldChar w:fldCharType="separate"/>
            </w:r>
            <w:r w:rsidR="00A52B3E">
              <w:rPr>
                <w:webHidden/>
              </w:rPr>
              <w:t>9</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24" w:history="1">
            <w:r w:rsidR="00A52B3E" w:rsidRPr="00FF15D5">
              <w:rPr>
                <w:rStyle w:val="Hyperlink"/>
                <w:lang w:val="en-GB"/>
              </w:rPr>
              <w:t>3.2</w:t>
            </w:r>
            <w:r w:rsidR="00A52B3E">
              <w:rPr>
                <w:rFonts w:asciiTheme="minorHAnsi" w:eastAsiaTheme="minorEastAsia" w:hAnsiTheme="minorHAnsi" w:cstheme="minorBidi"/>
                <w:sz w:val="22"/>
                <w:lang w:eastAsia="en-NZ"/>
              </w:rPr>
              <w:tab/>
            </w:r>
            <w:r w:rsidR="00A52B3E" w:rsidRPr="00FF15D5">
              <w:rPr>
                <w:rStyle w:val="Hyperlink"/>
                <w:lang w:val="en-GB"/>
              </w:rPr>
              <w:t>New Zealand’s ageing reality</w:t>
            </w:r>
            <w:r w:rsidR="00A52B3E">
              <w:rPr>
                <w:webHidden/>
              </w:rPr>
              <w:tab/>
            </w:r>
            <w:r w:rsidR="00A52B3E">
              <w:rPr>
                <w:webHidden/>
              </w:rPr>
              <w:fldChar w:fldCharType="begin"/>
            </w:r>
            <w:r w:rsidR="00A52B3E">
              <w:rPr>
                <w:webHidden/>
              </w:rPr>
              <w:instrText xml:space="preserve"> PAGEREF _Toc340245224 \h </w:instrText>
            </w:r>
            <w:r w:rsidR="00A52B3E">
              <w:rPr>
                <w:webHidden/>
              </w:rPr>
            </w:r>
            <w:r w:rsidR="00A52B3E">
              <w:rPr>
                <w:webHidden/>
              </w:rPr>
              <w:fldChar w:fldCharType="separate"/>
            </w:r>
            <w:r w:rsidR="00A52B3E">
              <w:rPr>
                <w:webHidden/>
              </w:rPr>
              <w:t>9</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25" w:history="1">
            <w:r w:rsidR="00A52B3E" w:rsidRPr="00FF15D5">
              <w:rPr>
                <w:rStyle w:val="Hyperlink"/>
                <w:lang w:val="en-GB"/>
              </w:rPr>
              <w:t>3.3</w:t>
            </w:r>
            <w:r w:rsidR="00A52B3E">
              <w:rPr>
                <w:rFonts w:asciiTheme="minorHAnsi" w:eastAsiaTheme="minorEastAsia" w:hAnsiTheme="minorHAnsi" w:cstheme="minorBidi"/>
                <w:sz w:val="22"/>
                <w:lang w:eastAsia="en-NZ"/>
              </w:rPr>
              <w:tab/>
            </w:r>
            <w:r w:rsidR="00A52B3E" w:rsidRPr="00FF15D5">
              <w:rPr>
                <w:rStyle w:val="Hyperlink"/>
                <w:lang w:val="en-GB"/>
              </w:rPr>
              <w:t>The sub-regional context</w:t>
            </w:r>
            <w:r w:rsidR="00A52B3E">
              <w:rPr>
                <w:webHidden/>
              </w:rPr>
              <w:tab/>
            </w:r>
            <w:r w:rsidR="00A52B3E">
              <w:rPr>
                <w:webHidden/>
              </w:rPr>
              <w:fldChar w:fldCharType="begin"/>
            </w:r>
            <w:r w:rsidR="00A52B3E">
              <w:rPr>
                <w:webHidden/>
              </w:rPr>
              <w:instrText xml:space="preserve"> PAGEREF _Toc340245225 \h </w:instrText>
            </w:r>
            <w:r w:rsidR="00A52B3E">
              <w:rPr>
                <w:webHidden/>
              </w:rPr>
            </w:r>
            <w:r w:rsidR="00A52B3E">
              <w:rPr>
                <w:webHidden/>
              </w:rPr>
              <w:fldChar w:fldCharType="separate"/>
            </w:r>
            <w:r w:rsidR="00A52B3E">
              <w:rPr>
                <w:webHidden/>
              </w:rPr>
              <w:t>12</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26" w:history="1">
            <w:r w:rsidR="00A52B3E" w:rsidRPr="00FF15D5">
              <w:rPr>
                <w:rStyle w:val="Hyperlink"/>
              </w:rPr>
              <w:t>3.4</w:t>
            </w:r>
            <w:r w:rsidR="00A52B3E">
              <w:rPr>
                <w:rFonts w:asciiTheme="minorHAnsi" w:eastAsiaTheme="minorEastAsia" w:hAnsiTheme="minorHAnsi" w:cstheme="minorBidi"/>
                <w:sz w:val="22"/>
                <w:lang w:eastAsia="en-NZ"/>
              </w:rPr>
              <w:tab/>
            </w:r>
            <w:r w:rsidR="00A52B3E" w:rsidRPr="00FF15D5">
              <w:rPr>
                <w:rStyle w:val="Hyperlink"/>
              </w:rPr>
              <w:t>Actions for the updated SmartGrowth Strategy</w:t>
            </w:r>
            <w:r w:rsidR="00A52B3E">
              <w:rPr>
                <w:webHidden/>
              </w:rPr>
              <w:tab/>
            </w:r>
            <w:r w:rsidR="00A52B3E">
              <w:rPr>
                <w:webHidden/>
              </w:rPr>
              <w:fldChar w:fldCharType="begin"/>
            </w:r>
            <w:r w:rsidR="00A52B3E">
              <w:rPr>
                <w:webHidden/>
              </w:rPr>
              <w:instrText xml:space="preserve"> PAGEREF _Toc340245226 \h </w:instrText>
            </w:r>
            <w:r w:rsidR="00A52B3E">
              <w:rPr>
                <w:webHidden/>
              </w:rPr>
            </w:r>
            <w:r w:rsidR="00A52B3E">
              <w:rPr>
                <w:webHidden/>
              </w:rPr>
              <w:fldChar w:fldCharType="separate"/>
            </w:r>
            <w:r w:rsidR="00A52B3E">
              <w:rPr>
                <w:webHidden/>
              </w:rPr>
              <w:t>15</w:t>
            </w:r>
            <w:r w:rsidR="00A52B3E">
              <w:rPr>
                <w:webHidden/>
              </w:rPr>
              <w:fldChar w:fldCharType="end"/>
            </w:r>
          </w:hyperlink>
        </w:p>
        <w:p w:rsidR="00A52B3E" w:rsidRDefault="00414DFB">
          <w:pPr>
            <w:pStyle w:val="TOC1"/>
            <w:rPr>
              <w:rFonts w:asciiTheme="minorHAnsi" w:eastAsiaTheme="minorEastAsia" w:hAnsiTheme="minorHAnsi" w:cstheme="minorBidi"/>
              <w:b w:val="0"/>
              <w:lang w:eastAsia="en-NZ"/>
            </w:rPr>
          </w:pPr>
          <w:hyperlink w:anchor="_Toc340245227" w:history="1">
            <w:r w:rsidR="00A52B3E" w:rsidRPr="00FF15D5">
              <w:rPr>
                <w:rStyle w:val="Hyperlink"/>
                <w:caps/>
              </w:rPr>
              <w:t>4</w:t>
            </w:r>
            <w:r w:rsidR="00A52B3E">
              <w:rPr>
                <w:rFonts w:asciiTheme="minorHAnsi" w:eastAsiaTheme="minorEastAsia" w:hAnsiTheme="minorHAnsi" w:cstheme="minorBidi"/>
                <w:b w:val="0"/>
                <w:lang w:eastAsia="en-NZ"/>
              </w:rPr>
              <w:tab/>
            </w:r>
            <w:r w:rsidR="00A52B3E" w:rsidRPr="00FF15D5">
              <w:rPr>
                <w:rStyle w:val="Hyperlink"/>
              </w:rPr>
              <w:t>LIVEABLE COMMUNITIES</w:t>
            </w:r>
            <w:r w:rsidR="00A52B3E">
              <w:rPr>
                <w:webHidden/>
              </w:rPr>
              <w:tab/>
            </w:r>
            <w:r w:rsidR="00A52B3E">
              <w:rPr>
                <w:webHidden/>
              </w:rPr>
              <w:fldChar w:fldCharType="begin"/>
            </w:r>
            <w:r w:rsidR="00A52B3E">
              <w:rPr>
                <w:webHidden/>
              </w:rPr>
              <w:instrText xml:space="preserve"> PAGEREF _Toc340245227 \h </w:instrText>
            </w:r>
            <w:r w:rsidR="00A52B3E">
              <w:rPr>
                <w:webHidden/>
              </w:rPr>
            </w:r>
            <w:r w:rsidR="00A52B3E">
              <w:rPr>
                <w:webHidden/>
              </w:rPr>
              <w:fldChar w:fldCharType="separate"/>
            </w:r>
            <w:r w:rsidR="00A52B3E">
              <w:rPr>
                <w:webHidden/>
              </w:rPr>
              <w:t>16</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28" w:history="1">
            <w:r w:rsidR="00A52B3E" w:rsidRPr="00FF15D5">
              <w:rPr>
                <w:rStyle w:val="Hyperlink"/>
              </w:rPr>
              <w:t>4.1</w:t>
            </w:r>
            <w:r w:rsidR="00A52B3E">
              <w:rPr>
                <w:rFonts w:asciiTheme="minorHAnsi" w:eastAsiaTheme="minorEastAsia" w:hAnsiTheme="minorHAnsi" w:cstheme="minorBidi"/>
                <w:sz w:val="22"/>
                <w:lang w:eastAsia="en-NZ"/>
              </w:rPr>
              <w:tab/>
            </w:r>
            <w:r w:rsidR="00A52B3E" w:rsidRPr="00FF15D5">
              <w:rPr>
                <w:rStyle w:val="Hyperlink"/>
              </w:rPr>
              <w:t>Housing as a fundamental determinant to wellbeing</w:t>
            </w:r>
            <w:r w:rsidR="00A52B3E">
              <w:rPr>
                <w:webHidden/>
              </w:rPr>
              <w:tab/>
            </w:r>
            <w:r w:rsidR="00A52B3E">
              <w:rPr>
                <w:webHidden/>
              </w:rPr>
              <w:fldChar w:fldCharType="begin"/>
            </w:r>
            <w:r w:rsidR="00A52B3E">
              <w:rPr>
                <w:webHidden/>
              </w:rPr>
              <w:instrText xml:space="preserve"> PAGEREF _Toc340245228 \h </w:instrText>
            </w:r>
            <w:r w:rsidR="00A52B3E">
              <w:rPr>
                <w:webHidden/>
              </w:rPr>
            </w:r>
            <w:r w:rsidR="00A52B3E">
              <w:rPr>
                <w:webHidden/>
              </w:rPr>
              <w:fldChar w:fldCharType="separate"/>
            </w:r>
            <w:r w:rsidR="00A52B3E">
              <w:rPr>
                <w:webHidden/>
              </w:rPr>
              <w:t>16</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29" w:history="1">
            <w:r w:rsidR="00A52B3E" w:rsidRPr="00FF15D5">
              <w:rPr>
                <w:rStyle w:val="Hyperlink"/>
              </w:rPr>
              <w:t>4.2</w:t>
            </w:r>
            <w:r w:rsidR="00A52B3E">
              <w:rPr>
                <w:rFonts w:asciiTheme="minorHAnsi" w:eastAsiaTheme="minorEastAsia" w:hAnsiTheme="minorHAnsi" w:cstheme="minorBidi"/>
                <w:sz w:val="22"/>
                <w:lang w:eastAsia="en-NZ"/>
              </w:rPr>
              <w:tab/>
            </w:r>
            <w:r w:rsidR="00A52B3E" w:rsidRPr="00FF15D5">
              <w:rPr>
                <w:rStyle w:val="Hyperlink"/>
              </w:rPr>
              <w:t>Liveable communities</w:t>
            </w:r>
            <w:r w:rsidR="00A52B3E">
              <w:rPr>
                <w:webHidden/>
              </w:rPr>
              <w:tab/>
            </w:r>
            <w:r w:rsidR="00A52B3E">
              <w:rPr>
                <w:webHidden/>
              </w:rPr>
              <w:fldChar w:fldCharType="begin"/>
            </w:r>
            <w:r w:rsidR="00A52B3E">
              <w:rPr>
                <w:webHidden/>
              </w:rPr>
              <w:instrText xml:space="preserve"> PAGEREF _Toc340245229 \h </w:instrText>
            </w:r>
            <w:r w:rsidR="00A52B3E">
              <w:rPr>
                <w:webHidden/>
              </w:rPr>
            </w:r>
            <w:r w:rsidR="00A52B3E">
              <w:rPr>
                <w:webHidden/>
              </w:rPr>
              <w:fldChar w:fldCharType="separate"/>
            </w:r>
            <w:r w:rsidR="00A52B3E">
              <w:rPr>
                <w:webHidden/>
              </w:rPr>
              <w:t>17</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30" w:history="1">
            <w:r w:rsidR="00A52B3E" w:rsidRPr="00FF15D5">
              <w:rPr>
                <w:rStyle w:val="Hyperlink"/>
              </w:rPr>
              <w:t>4.3</w:t>
            </w:r>
            <w:r w:rsidR="00A52B3E">
              <w:rPr>
                <w:rFonts w:asciiTheme="minorHAnsi" w:eastAsiaTheme="minorEastAsia" w:hAnsiTheme="minorHAnsi" w:cstheme="minorBidi"/>
                <w:sz w:val="22"/>
                <w:lang w:eastAsia="en-NZ"/>
              </w:rPr>
              <w:tab/>
            </w:r>
            <w:r w:rsidR="00A52B3E" w:rsidRPr="00FF15D5">
              <w:rPr>
                <w:rStyle w:val="Hyperlink"/>
              </w:rPr>
              <w:t>The New Zealand and sub-regional context</w:t>
            </w:r>
            <w:r w:rsidR="00A52B3E">
              <w:rPr>
                <w:webHidden/>
              </w:rPr>
              <w:tab/>
            </w:r>
            <w:r w:rsidR="00A52B3E">
              <w:rPr>
                <w:webHidden/>
              </w:rPr>
              <w:fldChar w:fldCharType="begin"/>
            </w:r>
            <w:r w:rsidR="00A52B3E">
              <w:rPr>
                <w:webHidden/>
              </w:rPr>
              <w:instrText xml:space="preserve"> PAGEREF _Toc340245230 \h </w:instrText>
            </w:r>
            <w:r w:rsidR="00A52B3E">
              <w:rPr>
                <w:webHidden/>
              </w:rPr>
            </w:r>
            <w:r w:rsidR="00A52B3E">
              <w:rPr>
                <w:webHidden/>
              </w:rPr>
              <w:fldChar w:fldCharType="separate"/>
            </w:r>
            <w:r w:rsidR="00A52B3E">
              <w:rPr>
                <w:webHidden/>
              </w:rPr>
              <w:t>19</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31" w:history="1">
            <w:r w:rsidR="00A52B3E" w:rsidRPr="00FF15D5">
              <w:rPr>
                <w:rStyle w:val="Hyperlink"/>
              </w:rPr>
              <w:t>4.4</w:t>
            </w:r>
            <w:r w:rsidR="00A52B3E">
              <w:rPr>
                <w:rFonts w:asciiTheme="minorHAnsi" w:eastAsiaTheme="minorEastAsia" w:hAnsiTheme="minorHAnsi" w:cstheme="minorBidi"/>
                <w:sz w:val="22"/>
                <w:lang w:eastAsia="en-NZ"/>
              </w:rPr>
              <w:tab/>
            </w:r>
            <w:r w:rsidR="00A52B3E" w:rsidRPr="00FF15D5">
              <w:rPr>
                <w:rStyle w:val="Hyperlink"/>
              </w:rPr>
              <w:t>Actions for the updated SmartGrowth Strategy</w:t>
            </w:r>
            <w:r w:rsidR="00A52B3E">
              <w:rPr>
                <w:webHidden/>
              </w:rPr>
              <w:tab/>
            </w:r>
            <w:r w:rsidR="00A52B3E">
              <w:rPr>
                <w:webHidden/>
              </w:rPr>
              <w:fldChar w:fldCharType="begin"/>
            </w:r>
            <w:r w:rsidR="00A52B3E">
              <w:rPr>
                <w:webHidden/>
              </w:rPr>
              <w:instrText xml:space="preserve"> PAGEREF _Toc340245231 \h </w:instrText>
            </w:r>
            <w:r w:rsidR="00A52B3E">
              <w:rPr>
                <w:webHidden/>
              </w:rPr>
            </w:r>
            <w:r w:rsidR="00A52B3E">
              <w:rPr>
                <w:webHidden/>
              </w:rPr>
              <w:fldChar w:fldCharType="separate"/>
            </w:r>
            <w:r w:rsidR="00A52B3E">
              <w:rPr>
                <w:webHidden/>
              </w:rPr>
              <w:t>21</w:t>
            </w:r>
            <w:r w:rsidR="00A52B3E">
              <w:rPr>
                <w:webHidden/>
              </w:rPr>
              <w:fldChar w:fldCharType="end"/>
            </w:r>
          </w:hyperlink>
        </w:p>
        <w:p w:rsidR="00A52B3E" w:rsidRDefault="00414DFB">
          <w:pPr>
            <w:pStyle w:val="TOC1"/>
            <w:rPr>
              <w:rFonts w:asciiTheme="minorHAnsi" w:eastAsiaTheme="minorEastAsia" w:hAnsiTheme="minorHAnsi" w:cstheme="minorBidi"/>
              <w:b w:val="0"/>
              <w:lang w:eastAsia="en-NZ"/>
            </w:rPr>
          </w:pPr>
          <w:hyperlink w:anchor="_Toc340245232" w:history="1">
            <w:r w:rsidR="00A52B3E" w:rsidRPr="00FF15D5">
              <w:rPr>
                <w:rStyle w:val="Hyperlink"/>
                <w:caps/>
              </w:rPr>
              <w:t>5</w:t>
            </w:r>
            <w:r w:rsidR="00A52B3E">
              <w:rPr>
                <w:rFonts w:asciiTheme="minorHAnsi" w:eastAsiaTheme="minorEastAsia" w:hAnsiTheme="minorHAnsi" w:cstheme="minorBidi"/>
                <w:b w:val="0"/>
                <w:lang w:eastAsia="en-NZ"/>
              </w:rPr>
              <w:tab/>
            </w:r>
            <w:r w:rsidR="00A52B3E" w:rsidRPr="00FF15D5">
              <w:rPr>
                <w:rStyle w:val="Hyperlink"/>
              </w:rPr>
              <w:t>POPULATION AGEING – ECONOMIC AND EMPLOYMENT IMPLICATIONS</w:t>
            </w:r>
            <w:r w:rsidR="00A52B3E">
              <w:rPr>
                <w:webHidden/>
              </w:rPr>
              <w:tab/>
            </w:r>
            <w:r w:rsidR="00A52B3E">
              <w:rPr>
                <w:webHidden/>
              </w:rPr>
              <w:fldChar w:fldCharType="begin"/>
            </w:r>
            <w:r w:rsidR="00A52B3E">
              <w:rPr>
                <w:webHidden/>
              </w:rPr>
              <w:instrText xml:space="preserve"> PAGEREF _Toc340245232 \h </w:instrText>
            </w:r>
            <w:r w:rsidR="00A52B3E">
              <w:rPr>
                <w:webHidden/>
              </w:rPr>
            </w:r>
            <w:r w:rsidR="00A52B3E">
              <w:rPr>
                <w:webHidden/>
              </w:rPr>
              <w:fldChar w:fldCharType="separate"/>
            </w:r>
            <w:r w:rsidR="00A52B3E">
              <w:rPr>
                <w:webHidden/>
              </w:rPr>
              <w:t>22</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33" w:history="1">
            <w:r w:rsidR="00A52B3E" w:rsidRPr="00FF15D5">
              <w:rPr>
                <w:rStyle w:val="Hyperlink"/>
              </w:rPr>
              <w:t>5.1</w:t>
            </w:r>
            <w:r w:rsidR="00A52B3E">
              <w:rPr>
                <w:rFonts w:asciiTheme="minorHAnsi" w:eastAsiaTheme="minorEastAsia" w:hAnsiTheme="minorHAnsi" w:cstheme="minorBidi"/>
                <w:sz w:val="22"/>
                <w:lang w:eastAsia="en-NZ"/>
              </w:rPr>
              <w:tab/>
            </w:r>
            <w:r w:rsidR="00A52B3E" w:rsidRPr="00FF15D5">
              <w:rPr>
                <w:rStyle w:val="Hyperlink"/>
              </w:rPr>
              <w:t>Global Influence: A certain reality</w:t>
            </w:r>
            <w:r w:rsidR="00A52B3E">
              <w:rPr>
                <w:webHidden/>
              </w:rPr>
              <w:tab/>
            </w:r>
            <w:r w:rsidR="00A52B3E">
              <w:rPr>
                <w:webHidden/>
              </w:rPr>
              <w:fldChar w:fldCharType="begin"/>
            </w:r>
            <w:r w:rsidR="00A52B3E">
              <w:rPr>
                <w:webHidden/>
              </w:rPr>
              <w:instrText xml:space="preserve"> PAGEREF _Toc340245233 \h </w:instrText>
            </w:r>
            <w:r w:rsidR="00A52B3E">
              <w:rPr>
                <w:webHidden/>
              </w:rPr>
            </w:r>
            <w:r w:rsidR="00A52B3E">
              <w:rPr>
                <w:webHidden/>
              </w:rPr>
              <w:fldChar w:fldCharType="separate"/>
            </w:r>
            <w:r w:rsidR="00A52B3E">
              <w:rPr>
                <w:webHidden/>
              </w:rPr>
              <w:t>22</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34" w:history="1">
            <w:r w:rsidR="00A52B3E" w:rsidRPr="00FF15D5">
              <w:rPr>
                <w:rStyle w:val="Hyperlink"/>
              </w:rPr>
              <w:t>5.2</w:t>
            </w:r>
            <w:r w:rsidR="00A52B3E">
              <w:rPr>
                <w:rFonts w:asciiTheme="minorHAnsi" w:eastAsiaTheme="minorEastAsia" w:hAnsiTheme="minorHAnsi" w:cstheme="minorBidi"/>
                <w:sz w:val="22"/>
                <w:lang w:eastAsia="en-NZ"/>
              </w:rPr>
              <w:tab/>
            </w:r>
            <w:r w:rsidR="00A52B3E" w:rsidRPr="00FF15D5">
              <w:rPr>
                <w:rStyle w:val="Hyperlink"/>
              </w:rPr>
              <w:t>Ageing in an uncertain New Zealand economy</w:t>
            </w:r>
            <w:r w:rsidR="00A52B3E">
              <w:rPr>
                <w:webHidden/>
              </w:rPr>
              <w:tab/>
            </w:r>
            <w:r w:rsidR="00A52B3E">
              <w:rPr>
                <w:webHidden/>
              </w:rPr>
              <w:fldChar w:fldCharType="begin"/>
            </w:r>
            <w:r w:rsidR="00A52B3E">
              <w:rPr>
                <w:webHidden/>
              </w:rPr>
              <w:instrText xml:space="preserve"> PAGEREF _Toc340245234 \h </w:instrText>
            </w:r>
            <w:r w:rsidR="00A52B3E">
              <w:rPr>
                <w:webHidden/>
              </w:rPr>
            </w:r>
            <w:r w:rsidR="00A52B3E">
              <w:rPr>
                <w:webHidden/>
              </w:rPr>
              <w:fldChar w:fldCharType="separate"/>
            </w:r>
            <w:r w:rsidR="00A52B3E">
              <w:rPr>
                <w:webHidden/>
              </w:rPr>
              <w:t>25</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35" w:history="1">
            <w:r w:rsidR="00A52B3E" w:rsidRPr="00FF15D5">
              <w:rPr>
                <w:rStyle w:val="Hyperlink"/>
              </w:rPr>
              <w:t>5.3</w:t>
            </w:r>
            <w:r w:rsidR="00A52B3E">
              <w:rPr>
                <w:rFonts w:asciiTheme="minorHAnsi" w:eastAsiaTheme="minorEastAsia" w:hAnsiTheme="minorHAnsi" w:cstheme="minorBidi"/>
                <w:sz w:val="22"/>
                <w:lang w:eastAsia="en-NZ"/>
              </w:rPr>
              <w:tab/>
            </w:r>
            <w:r w:rsidR="00A52B3E" w:rsidRPr="00FF15D5">
              <w:rPr>
                <w:rStyle w:val="Hyperlink"/>
              </w:rPr>
              <w:t>Western Bay of Plenty sub-region: A certain and uncertain reality</w:t>
            </w:r>
            <w:r w:rsidR="00A52B3E">
              <w:rPr>
                <w:webHidden/>
              </w:rPr>
              <w:tab/>
            </w:r>
            <w:r w:rsidR="00A52B3E">
              <w:rPr>
                <w:webHidden/>
              </w:rPr>
              <w:fldChar w:fldCharType="begin"/>
            </w:r>
            <w:r w:rsidR="00A52B3E">
              <w:rPr>
                <w:webHidden/>
              </w:rPr>
              <w:instrText xml:space="preserve"> PAGEREF _Toc340245235 \h </w:instrText>
            </w:r>
            <w:r w:rsidR="00A52B3E">
              <w:rPr>
                <w:webHidden/>
              </w:rPr>
            </w:r>
            <w:r w:rsidR="00A52B3E">
              <w:rPr>
                <w:webHidden/>
              </w:rPr>
              <w:fldChar w:fldCharType="separate"/>
            </w:r>
            <w:r w:rsidR="00A52B3E">
              <w:rPr>
                <w:webHidden/>
              </w:rPr>
              <w:t>28</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36" w:history="1">
            <w:r w:rsidR="00A52B3E" w:rsidRPr="00FF15D5">
              <w:rPr>
                <w:rStyle w:val="Hyperlink"/>
              </w:rPr>
              <w:t>5.4</w:t>
            </w:r>
            <w:r w:rsidR="00A52B3E">
              <w:rPr>
                <w:rFonts w:asciiTheme="minorHAnsi" w:eastAsiaTheme="minorEastAsia" w:hAnsiTheme="minorHAnsi" w:cstheme="minorBidi"/>
                <w:sz w:val="22"/>
                <w:lang w:eastAsia="en-NZ"/>
              </w:rPr>
              <w:tab/>
            </w:r>
            <w:r w:rsidR="00A52B3E" w:rsidRPr="00FF15D5">
              <w:rPr>
                <w:rStyle w:val="Hyperlink"/>
              </w:rPr>
              <w:t>From challenge to opportunity: Rising longevity and its implications for business in the Western Bay</w:t>
            </w:r>
            <w:r w:rsidR="00A52B3E">
              <w:rPr>
                <w:webHidden/>
              </w:rPr>
              <w:tab/>
            </w:r>
            <w:r w:rsidR="00A52B3E">
              <w:rPr>
                <w:webHidden/>
              </w:rPr>
              <w:fldChar w:fldCharType="begin"/>
            </w:r>
            <w:r w:rsidR="00A52B3E">
              <w:rPr>
                <w:webHidden/>
              </w:rPr>
              <w:instrText xml:space="preserve"> PAGEREF _Toc340245236 \h </w:instrText>
            </w:r>
            <w:r w:rsidR="00A52B3E">
              <w:rPr>
                <w:webHidden/>
              </w:rPr>
            </w:r>
            <w:r w:rsidR="00A52B3E">
              <w:rPr>
                <w:webHidden/>
              </w:rPr>
              <w:fldChar w:fldCharType="separate"/>
            </w:r>
            <w:r w:rsidR="00A52B3E">
              <w:rPr>
                <w:webHidden/>
              </w:rPr>
              <w:t>31</w:t>
            </w:r>
            <w:r w:rsidR="00A52B3E">
              <w:rPr>
                <w:webHidden/>
              </w:rPr>
              <w:fldChar w:fldCharType="end"/>
            </w:r>
          </w:hyperlink>
        </w:p>
        <w:p w:rsidR="00A52B3E" w:rsidRDefault="00414DFB">
          <w:pPr>
            <w:pStyle w:val="TOC2"/>
            <w:rPr>
              <w:rFonts w:asciiTheme="minorHAnsi" w:eastAsiaTheme="minorEastAsia" w:hAnsiTheme="minorHAnsi" w:cstheme="minorBidi"/>
              <w:sz w:val="22"/>
              <w:lang w:eastAsia="en-NZ"/>
            </w:rPr>
          </w:pPr>
          <w:hyperlink w:anchor="_Toc340245237" w:history="1">
            <w:r w:rsidR="00A52B3E" w:rsidRPr="00FF15D5">
              <w:rPr>
                <w:rStyle w:val="Hyperlink"/>
              </w:rPr>
              <w:t>5.5</w:t>
            </w:r>
            <w:r w:rsidR="00A52B3E">
              <w:rPr>
                <w:rFonts w:asciiTheme="minorHAnsi" w:eastAsiaTheme="minorEastAsia" w:hAnsiTheme="minorHAnsi" w:cstheme="minorBidi"/>
                <w:sz w:val="22"/>
                <w:lang w:eastAsia="en-NZ"/>
              </w:rPr>
              <w:tab/>
            </w:r>
            <w:r w:rsidR="00A52B3E" w:rsidRPr="00FF15D5">
              <w:rPr>
                <w:rStyle w:val="Hyperlink"/>
              </w:rPr>
              <w:t>Actions for the updated SmartGrowth Strategy</w:t>
            </w:r>
            <w:r w:rsidR="00A52B3E">
              <w:rPr>
                <w:webHidden/>
              </w:rPr>
              <w:tab/>
            </w:r>
            <w:r w:rsidR="00A52B3E">
              <w:rPr>
                <w:webHidden/>
              </w:rPr>
              <w:fldChar w:fldCharType="begin"/>
            </w:r>
            <w:r w:rsidR="00A52B3E">
              <w:rPr>
                <w:webHidden/>
              </w:rPr>
              <w:instrText xml:space="preserve"> PAGEREF _Toc340245237 \h </w:instrText>
            </w:r>
            <w:r w:rsidR="00A52B3E">
              <w:rPr>
                <w:webHidden/>
              </w:rPr>
            </w:r>
            <w:r w:rsidR="00A52B3E">
              <w:rPr>
                <w:webHidden/>
              </w:rPr>
              <w:fldChar w:fldCharType="separate"/>
            </w:r>
            <w:r w:rsidR="00A52B3E">
              <w:rPr>
                <w:webHidden/>
              </w:rPr>
              <w:t>37</w:t>
            </w:r>
            <w:r w:rsidR="00A52B3E">
              <w:rPr>
                <w:webHidden/>
              </w:rPr>
              <w:fldChar w:fldCharType="end"/>
            </w:r>
          </w:hyperlink>
        </w:p>
        <w:p w:rsidR="00A52B3E" w:rsidRDefault="00414DFB">
          <w:pPr>
            <w:pStyle w:val="TOC1"/>
            <w:rPr>
              <w:rFonts w:asciiTheme="minorHAnsi" w:eastAsiaTheme="minorEastAsia" w:hAnsiTheme="minorHAnsi" w:cstheme="minorBidi"/>
              <w:b w:val="0"/>
              <w:lang w:eastAsia="en-NZ"/>
            </w:rPr>
          </w:pPr>
          <w:hyperlink w:anchor="_Toc340245238" w:history="1">
            <w:r w:rsidR="00A52B3E" w:rsidRPr="00FF15D5">
              <w:rPr>
                <w:rStyle w:val="Hyperlink"/>
                <w:caps/>
              </w:rPr>
              <w:t>6</w:t>
            </w:r>
            <w:r w:rsidR="00A52B3E">
              <w:rPr>
                <w:rFonts w:asciiTheme="minorHAnsi" w:eastAsiaTheme="minorEastAsia" w:hAnsiTheme="minorHAnsi" w:cstheme="minorBidi"/>
                <w:b w:val="0"/>
                <w:lang w:eastAsia="en-NZ"/>
              </w:rPr>
              <w:tab/>
            </w:r>
            <w:r w:rsidR="00A52B3E" w:rsidRPr="00FF15D5">
              <w:rPr>
                <w:rStyle w:val="Hyperlink"/>
              </w:rPr>
              <w:t>NOTE FROM THE AUTHORS</w:t>
            </w:r>
            <w:r w:rsidR="00A52B3E">
              <w:rPr>
                <w:webHidden/>
              </w:rPr>
              <w:tab/>
            </w:r>
            <w:r w:rsidR="00A52B3E">
              <w:rPr>
                <w:webHidden/>
              </w:rPr>
              <w:fldChar w:fldCharType="begin"/>
            </w:r>
            <w:r w:rsidR="00A52B3E">
              <w:rPr>
                <w:webHidden/>
              </w:rPr>
              <w:instrText xml:space="preserve"> PAGEREF _Toc340245238 \h </w:instrText>
            </w:r>
            <w:r w:rsidR="00A52B3E">
              <w:rPr>
                <w:webHidden/>
              </w:rPr>
            </w:r>
            <w:r w:rsidR="00A52B3E">
              <w:rPr>
                <w:webHidden/>
              </w:rPr>
              <w:fldChar w:fldCharType="separate"/>
            </w:r>
            <w:r w:rsidR="00A52B3E">
              <w:rPr>
                <w:webHidden/>
              </w:rPr>
              <w:t>38</w:t>
            </w:r>
            <w:r w:rsidR="00A52B3E">
              <w:rPr>
                <w:webHidden/>
              </w:rPr>
              <w:fldChar w:fldCharType="end"/>
            </w:r>
          </w:hyperlink>
        </w:p>
        <w:p w:rsidR="0033729F" w:rsidRDefault="00A52B3E">
          <w:pPr>
            <w:rPr>
              <w:b/>
              <w:bCs/>
              <w:noProof/>
            </w:rPr>
          </w:pPr>
          <w:r>
            <w:rPr>
              <w:noProof/>
            </w:rPr>
            <w:fldChar w:fldCharType="end"/>
          </w:r>
        </w:p>
      </w:sdtContent>
    </w:sdt>
    <w:p w:rsidR="004D3CA7" w:rsidRDefault="004D3CA7">
      <w:pPr>
        <w:rPr>
          <w:b/>
          <w:bCs/>
          <w:noProof/>
        </w:rPr>
      </w:pPr>
    </w:p>
    <w:p w:rsidR="00A70D7E" w:rsidRDefault="00A70D7E" w:rsidP="00E94D5E">
      <w:pPr>
        <w:sectPr w:rsidR="00A70D7E" w:rsidSect="00BC46AA">
          <w:footerReference w:type="first" r:id="rId12"/>
          <w:pgSz w:w="11906" w:h="16838" w:code="9"/>
          <w:pgMar w:top="1152" w:right="1440" w:bottom="720" w:left="1440" w:header="720" w:footer="432" w:gutter="0"/>
          <w:pgNumType w:start="1"/>
          <w:cols w:space="720"/>
          <w:titlePg/>
          <w:docGrid w:linePitch="299"/>
        </w:sectPr>
      </w:pPr>
    </w:p>
    <w:p w:rsidR="0033729F" w:rsidRDefault="0033729F" w:rsidP="00E94D5E"/>
    <w:p w:rsidR="00BC46AA" w:rsidRDefault="00BC46AA" w:rsidP="00E94D5E">
      <w:pPr>
        <w:pStyle w:val="Heading1"/>
      </w:pPr>
      <w:bookmarkStart w:id="1" w:name="_Toc336863637"/>
      <w:bookmarkStart w:id="2" w:name="_Toc340245214"/>
      <w:r w:rsidRPr="00DA6C2F">
        <w:t>EXECUTIVE SUMMARY</w:t>
      </w:r>
      <w:bookmarkEnd w:id="1"/>
      <w:bookmarkEnd w:id="2"/>
    </w:p>
    <w:p w:rsidR="00592963" w:rsidRDefault="00592963" w:rsidP="00592963">
      <w:pPr>
        <w:pStyle w:val="Heading2"/>
        <w:numPr>
          <w:ilvl w:val="0"/>
          <w:numId w:val="0"/>
        </w:numPr>
        <w:ind w:left="576"/>
      </w:pPr>
    </w:p>
    <w:p w:rsidR="00592963" w:rsidRPr="005E16AD" w:rsidRDefault="00816B18" w:rsidP="00592963">
      <w:pPr>
        <w:pStyle w:val="Heading2"/>
        <w:rPr>
          <w:u w:val="none"/>
        </w:rPr>
      </w:pPr>
      <w:bookmarkStart w:id="3" w:name="_Toc340245215"/>
      <w:r w:rsidRPr="005E16AD">
        <w:rPr>
          <w:u w:val="none"/>
        </w:rPr>
        <w:t>Purpose of th</w:t>
      </w:r>
      <w:r w:rsidR="005E16AD">
        <w:rPr>
          <w:u w:val="none"/>
        </w:rPr>
        <w:t>e</w:t>
      </w:r>
      <w:r w:rsidRPr="005E16AD">
        <w:rPr>
          <w:u w:val="none"/>
        </w:rPr>
        <w:t xml:space="preserve"> research</w:t>
      </w:r>
      <w:bookmarkEnd w:id="3"/>
    </w:p>
    <w:p w:rsidR="005E16AD" w:rsidRDefault="00816B18" w:rsidP="005E16AD">
      <w:pPr>
        <w:pStyle w:val="BodyText"/>
        <w:spacing w:line="320" w:lineRule="exact"/>
        <w:ind w:left="0"/>
        <w:jc w:val="both"/>
        <w:rPr>
          <w:lang w:val="en-NZ"/>
        </w:rPr>
      </w:pPr>
      <w:r>
        <w:rPr>
          <w:lang w:val="en-NZ"/>
        </w:rPr>
        <w:t>The specific purpose of this research is to identify the implications and opportunities of population ageing within the context of health, housing, employment and transportation in order to recommend policy approaches that will help shape settlement patter</w:t>
      </w:r>
      <w:r w:rsidR="005E16AD">
        <w:rPr>
          <w:lang w:val="en-NZ"/>
        </w:rPr>
        <w:t>n</w:t>
      </w:r>
      <w:r>
        <w:rPr>
          <w:lang w:val="en-NZ"/>
        </w:rPr>
        <w:t>s and future urban form in the Western Bay of Plenty sub-region (the sub-region).</w:t>
      </w:r>
    </w:p>
    <w:p w:rsidR="00C77DD5" w:rsidRDefault="00C77DD5" w:rsidP="005E16AD">
      <w:pPr>
        <w:pStyle w:val="Heading2"/>
        <w:spacing w:before="120" w:after="120" w:line="320" w:lineRule="exact"/>
        <w:rPr>
          <w:u w:val="none"/>
        </w:rPr>
      </w:pPr>
      <w:bookmarkStart w:id="4" w:name="_Toc340245216"/>
      <w:r>
        <w:rPr>
          <w:u w:val="none"/>
        </w:rPr>
        <w:t>Background</w:t>
      </w:r>
      <w:bookmarkEnd w:id="4"/>
    </w:p>
    <w:p w:rsidR="00C02F20" w:rsidRDefault="009A1D31" w:rsidP="00C02F20">
      <w:pPr>
        <w:pStyle w:val="BodyText"/>
        <w:spacing w:line="320" w:lineRule="exact"/>
        <w:ind w:left="0"/>
        <w:jc w:val="both"/>
        <w:rPr>
          <w:lang w:val="en-NZ"/>
        </w:rPr>
      </w:pPr>
      <w:r>
        <w:rPr>
          <w:lang w:val="en-NZ"/>
        </w:rPr>
        <w:t xml:space="preserve">The SmartGrowth strategic planning process </w:t>
      </w:r>
      <w:r w:rsidR="00C02F20">
        <w:rPr>
          <w:lang w:val="en-NZ"/>
        </w:rPr>
        <w:t>was initiated in 2001 with a 50 year Implementation Plan, adopted in 2004 and revised in 2007. While the emphasis has been on growth management th</w:t>
      </w:r>
      <w:r>
        <w:rPr>
          <w:lang w:val="en-NZ"/>
        </w:rPr>
        <w:t>at</w:t>
      </w:r>
      <w:r w:rsidR="00C02F20">
        <w:rPr>
          <w:lang w:val="en-NZ"/>
        </w:rPr>
        <w:t xml:space="preserve"> context has included a high demographic focus. In the early phase this included: future </w:t>
      </w:r>
      <w:r>
        <w:rPr>
          <w:lang w:val="en-NZ"/>
        </w:rPr>
        <w:t xml:space="preserve">population </w:t>
      </w:r>
      <w:r w:rsidR="00C02F20">
        <w:rPr>
          <w:lang w:val="en-NZ"/>
        </w:rPr>
        <w:t xml:space="preserve">projections, migration patterns and population ageing. The </w:t>
      </w:r>
      <w:r w:rsidR="00C02F20" w:rsidRPr="00F05BC1">
        <w:rPr>
          <w:i/>
          <w:lang w:val="en-NZ"/>
        </w:rPr>
        <w:t>All Our Futures</w:t>
      </w:r>
      <w:r w:rsidR="00C02F20">
        <w:rPr>
          <w:lang w:val="en-NZ"/>
        </w:rPr>
        <w:t xml:space="preserve"> Report examined the impact of population ageing within the SmartGrowth region.</w:t>
      </w:r>
      <w:r w:rsidR="00C02F20">
        <w:rPr>
          <w:rStyle w:val="FootnoteReference"/>
          <w:lang w:val="en-NZ"/>
        </w:rPr>
        <w:footnoteReference w:id="1"/>
      </w:r>
    </w:p>
    <w:p w:rsidR="00C02F20" w:rsidRPr="009A1D31" w:rsidRDefault="00C02F20" w:rsidP="00C02F20">
      <w:pPr>
        <w:pStyle w:val="BodyText"/>
        <w:spacing w:line="320" w:lineRule="exact"/>
        <w:ind w:left="0"/>
        <w:jc w:val="both"/>
        <w:rPr>
          <w:lang w:val="en-NZ"/>
        </w:rPr>
      </w:pPr>
      <w:r>
        <w:t>The 2007 SmartGrowth Strategy and Implementation Plan</w:t>
      </w:r>
      <w:r w:rsidR="009A1D31">
        <w:t xml:space="preserve"> (the Plan)</w:t>
      </w:r>
      <w:r>
        <w:t xml:space="preserve"> recognised population ageing</w:t>
      </w:r>
      <w:r w:rsidR="009A1D31">
        <w:t xml:space="preserve"> by</w:t>
      </w:r>
      <w:r>
        <w:t xml:space="preserve"> specifying three actions within the Economic Development and Employment section (7.3.1)</w:t>
      </w:r>
      <w:r w:rsidR="001C7D5D">
        <w:t xml:space="preserve"> which were</w:t>
      </w:r>
      <w:r>
        <w:rPr>
          <w:lang w:val="en-NZ"/>
        </w:rPr>
        <w:t xml:space="preserve"> to investigate and identify economic and employment opportunities in gerontology</w:t>
      </w:r>
      <w:r w:rsidR="0015734E">
        <w:rPr>
          <w:lang w:val="en-NZ"/>
        </w:rPr>
        <w:t xml:space="preserve"> (including an ageing research facility)</w:t>
      </w:r>
      <w:r>
        <w:rPr>
          <w:lang w:val="en-NZ"/>
        </w:rPr>
        <w:t xml:space="preserve">, to develop </w:t>
      </w:r>
      <w:r w:rsidR="0015734E">
        <w:rPr>
          <w:lang w:val="en-NZ"/>
        </w:rPr>
        <w:t xml:space="preserve">a strategy and implementation plan.  </w:t>
      </w:r>
      <w:r>
        <w:rPr>
          <w:lang w:val="en-NZ"/>
        </w:rPr>
        <w:t xml:space="preserve">This </w:t>
      </w:r>
      <w:r w:rsidR="0015734E">
        <w:rPr>
          <w:lang w:val="en-NZ"/>
        </w:rPr>
        <w:t>work has not been actioned</w:t>
      </w:r>
      <w:r>
        <w:rPr>
          <w:lang w:val="en-NZ"/>
        </w:rPr>
        <w:t xml:space="preserve">. </w:t>
      </w:r>
      <w:r w:rsidR="003E01B7">
        <w:t>Ageing is also noted</w:t>
      </w:r>
      <w:r w:rsidR="009A1D31">
        <w:t xml:space="preserve"> as a feature influencing residential developmen</w:t>
      </w:r>
      <w:r w:rsidR="0015734E">
        <w:t>t and the</w:t>
      </w:r>
      <w:r w:rsidR="009A1D31">
        <w:t xml:space="preserve"> provision of social and care services</w:t>
      </w:r>
      <w:r w:rsidR="0015734E">
        <w:t>.</w:t>
      </w:r>
      <w:r w:rsidR="009A1D31">
        <w:rPr>
          <w:lang w:val="en-NZ"/>
        </w:rPr>
        <w:t xml:space="preserve"> </w:t>
      </w:r>
      <w:r w:rsidR="001C7D5D">
        <w:rPr>
          <w:lang w:val="en-NZ"/>
        </w:rPr>
        <w:t xml:space="preserve"> </w:t>
      </w:r>
      <w:r>
        <w:rPr>
          <w:lang w:val="en-NZ"/>
        </w:rPr>
        <w:t>A review of these and further recommendations from this report will consolidate a timely approach.</w:t>
      </w:r>
    </w:p>
    <w:p w:rsidR="00C02F20" w:rsidRDefault="00C02F20" w:rsidP="00C02F20">
      <w:pPr>
        <w:pStyle w:val="BodyText"/>
        <w:spacing w:line="320" w:lineRule="exact"/>
        <w:ind w:left="0"/>
        <w:jc w:val="both"/>
      </w:pPr>
      <w:r>
        <w:t xml:space="preserve">A growing understanding of the implications of population ageing has </w:t>
      </w:r>
      <w:r w:rsidR="009A1D31">
        <w:t xml:space="preserve">been a catalyst for </w:t>
      </w:r>
      <w:r>
        <w:t>collaboration.</w:t>
      </w:r>
      <w:r w:rsidR="0085434F">
        <w:t xml:space="preserve"> </w:t>
      </w:r>
      <w:r>
        <w:t xml:space="preserve"> In 2006 the Bay of Plenty District Health Board commissioned a study to explore the feasibility of </w:t>
      </w:r>
      <w:r w:rsidR="0085434F">
        <w:t xml:space="preserve">a </w:t>
      </w:r>
      <w:r>
        <w:t xml:space="preserve">collaborative approach to population ageing with SmartGrowth. As an outcome </w:t>
      </w:r>
      <w:r w:rsidR="009A1D31">
        <w:t>the</w:t>
      </w:r>
      <w:r>
        <w:t xml:space="preserve"> Population Ageing Technical Advisory Group</w:t>
      </w:r>
      <w:r w:rsidR="0085434F">
        <w:t xml:space="preserve"> (</w:t>
      </w:r>
      <w:r>
        <w:t xml:space="preserve">PATAG) was established in 2007. </w:t>
      </w:r>
      <w:r w:rsidRPr="009E54A3">
        <w:rPr>
          <w:i/>
        </w:rPr>
        <w:t>The parties recognised that the impact of high population ageing in the region will influence social and economic infrastructural systems and the way health services are delivered and resou</w:t>
      </w:r>
      <w:r>
        <w:rPr>
          <w:i/>
        </w:rPr>
        <w:t>r</w:t>
      </w:r>
      <w:r w:rsidRPr="009E54A3">
        <w:rPr>
          <w:i/>
        </w:rPr>
        <w:t>ces allocated.</w:t>
      </w:r>
      <w:r>
        <w:rPr>
          <w:rStyle w:val="FootnoteReference"/>
        </w:rPr>
        <w:footnoteReference w:id="2"/>
      </w:r>
      <w:r>
        <w:rPr>
          <w:i/>
        </w:rPr>
        <w:t xml:space="preserve"> </w:t>
      </w:r>
      <w:r w:rsidRPr="009E54A3">
        <w:t xml:space="preserve">PATAG </w:t>
      </w:r>
      <w:r>
        <w:t xml:space="preserve">continues to advise the BOPDHB and SmartGrowth. The </w:t>
      </w:r>
      <w:r w:rsidR="009A1D31">
        <w:t>BOP</w:t>
      </w:r>
      <w:r>
        <w:t xml:space="preserve">DHB has recently released </w:t>
      </w:r>
      <w:r w:rsidR="009A1D31">
        <w:t>the</w:t>
      </w:r>
      <w:r>
        <w:t xml:space="preserve"> Health of Older People</w:t>
      </w:r>
      <w:r w:rsidR="0085434F">
        <w:t xml:space="preserve"> Strategic Plan </w:t>
      </w:r>
      <w:r w:rsidR="009A1D31">
        <w:t xml:space="preserve">which </w:t>
      </w:r>
      <w:r>
        <w:t>provides direction for managing the challenges of health service provision in ageing communities.</w:t>
      </w:r>
    </w:p>
    <w:p w:rsidR="0085434F" w:rsidRDefault="0085434F" w:rsidP="0085434F">
      <w:pPr>
        <w:autoSpaceDE w:val="0"/>
        <w:autoSpaceDN w:val="0"/>
        <w:adjustRightInd w:val="0"/>
        <w:spacing w:line="320" w:lineRule="exact"/>
        <w:jc w:val="both"/>
        <w:rPr>
          <w:lang w:eastAsia="en-NZ"/>
        </w:rPr>
      </w:pPr>
      <w:r>
        <w:t xml:space="preserve">SmartGrowth acknowledges the importance of </w:t>
      </w:r>
      <w:r>
        <w:rPr>
          <w:lang w:eastAsia="en-NZ"/>
        </w:rPr>
        <w:t>providing a range of housing choices and locations of residential development to meet the diverse and changing needs of the community.</w:t>
      </w:r>
      <w:r w:rsidR="0016679E">
        <w:rPr>
          <w:lang w:eastAsia="en-NZ"/>
        </w:rPr>
        <w:t xml:space="preserve">  In collaboration with Tangata Whenua the Papakainga Toolkit provides a framework for progressing M</w:t>
      </w:r>
      <w:r w:rsidR="009A1D31">
        <w:rPr>
          <w:lang w:eastAsia="en-NZ"/>
        </w:rPr>
        <w:t>ā</w:t>
      </w:r>
      <w:r w:rsidR="0016679E">
        <w:rPr>
          <w:lang w:eastAsia="en-NZ"/>
        </w:rPr>
        <w:t>ori housing aspirations and recognises the cultural importance of elder roles.</w:t>
      </w:r>
    </w:p>
    <w:p w:rsidR="0016679E" w:rsidRDefault="0016679E" w:rsidP="009A1D31">
      <w:pPr>
        <w:autoSpaceDE w:val="0"/>
        <w:autoSpaceDN w:val="0"/>
        <w:adjustRightInd w:val="0"/>
        <w:spacing w:before="120" w:after="120" w:line="320" w:lineRule="exact"/>
        <w:jc w:val="both"/>
        <w:rPr>
          <w:lang w:eastAsia="en-NZ"/>
        </w:rPr>
      </w:pPr>
      <w:r>
        <w:rPr>
          <w:lang w:eastAsia="en-NZ"/>
        </w:rPr>
        <w:t xml:space="preserve">Further, the Bay of Plenty Regional Council has recently reviewed the Regional Land Transport Strategy </w:t>
      </w:r>
      <w:r w:rsidR="009A1D31">
        <w:rPr>
          <w:lang w:eastAsia="en-NZ"/>
        </w:rPr>
        <w:t>which included analysis</w:t>
      </w:r>
      <w:r>
        <w:rPr>
          <w:lang w:eastAsia="en-NZ"/>
        </w:rPr>
        <w:t xml:space="preserve"> of the implications of population ageing on public transport networks and mobility needs.</w:t>
      </w:r>
    </w:p>
    <w:p w:rsidR="0016679E" w:rsidRPr="0085434F" w:rsidRDefault="0016679E" w:rsidP="009A1D31">
      <w:pPr>
        <w:autoSpaceDE w:val="0"/>
        <w:autoSpaceDN w:val="0"/>
        <w:adjustRightInd w:val="0"/>
        <w:spacing w:before="120" w:after="120" w:line="320" w:lineRule="exact"/>
        <w:jc w:val="both"/>
        <w:rPr>
          <w:lang w:eastAsia="en-NZ"/>
        </w:rPr>
      </w:pPr>
      <w:r>
        <w:rPr>
          <w:lang w:eastAsia="en-NZ"/>
        </w:rPr>
        <w:t>Western Bay of Plenty District Council continues to engage communities in infrastructural development through comprehensive community development plans.</w:t>
      </w:r>
    </w:p>
    <w:p w:rsidR="0016679E" w:rsidRDefault="00C02F20" w:rsidP="00C02F20">
      <w:pPr>
        <w:pStyle w:val="BodyText"/>
        <w:spacing w:line="320" w:lineRule="exact"/>
        <w:ind w:left="0"/>
        <w:jc w:val="both"/>
      </w:pPr>
      <w:r>
        <w:t xml:space="preserve">Tauranga City Council has established an Elders Forum to provide advice, and this year is implementing an Age-Friendly project based on </w:t>
      </w:r>
      <w:r w:rsidR="009A1D31">
        <w:t>the World Health Organization guidelines</w:t>
      </w:r>
      <w:r>
        <w:t xml:space="preserve">, to strengthen the City and community capacity to enable </w:t>
      </w:r>
      <w:r w:rsidR="0085434F">
        <w:t>ag</w:t>
      </w:r>
      <w:r w:rsidR="009A1D31">
        <w:t>e</w:t>
      </w:r>
      <w:r w:rsidR="0085434F">
        <w:t>ing</w:t>
      </w:r>
      <w:r>
        <w:t xml:space="preserve">-in-place and </w:t>
      </w:r>
      <w:r w:rsidR="0085434F">
        <w:t>independence</w:t>
      </w:r>
      <w:r w:rsidR="0016679E">
        <w:t>.</w:t>
      </w:r>
    </w:p>
    <w:p w:rsidR="00C02F20" w:rsidRDefault="00C02F20" w:rsidP="00C02F20">
      <w:pPr>
        <w:pStyle w:val="BodyText"/>
        <w:spacing w:line="320" w:lineRule="exact"/>
        <w:ind w:left="0"/>
        <w:jc w:val="both"/>
        <w:rPr>
          <w:lang w:val="en-NZ"/>
        </w:rPr>
      </w:pPr>
      <w:r>
        <w:rPr>
          <w:lang w:val="en-NZ"/>
        </w:rPr>
        <w:t>Economic and population growth patterns have changed since the last SmartGrowth review, but</w:t>
      </w:r>
      <w:r w:rsidR="001901E3">
        <w:rPr>
          <w:lang w:val="en-NZ"/>
        </w:rPr>
        <w:t xml:space="preserve"> quantifying the extent of that change has been compromised by the lack of recent</w:t>
      </w:r>
      <w:r>
        <w:rPr>
          <w:lang w:val="en-NZ"/>
        </w:rPr>
        <w:t xml:space="preserve"> census data. However population ageing is </w:t>
      </w:r>
      <w:r w:rsidR="001901E3">
        <w:rPr>
          <w:lang w:val="en-NZ"/>
        </w:rPr>
        <w:t xml:space="preserve">now </w:t>
      </w:r>
      <w:r>
        <w:rPr>
          <w:lang w:val="en-NZ"/>
        </w:rPr>
        <w:t xml:space="preserve">more defined </w:t>
      </w:r>
      <w:r w:rsidR="001C7D5D">
        <w:rPr>
          <w:lang w:val="en-NZ"/>
        </w:rPr>
        <w:t xml:space="preserve">in this report </w:t>
      </w:r>
      <w:r>
        <w:rPr>
          <w:lang w:val="en-NZ"/>
        </w:rPr>
        <w:t>and</w:t>
      </w:r>
      <w:r w:rsidR="001C7D5D">
        <w:rPr>
          <w:lang w:val="en-NZ"/>
        </w:rPr>
        <w:t xml:space="preserve"> widely</w:t>
      </w:r>
      <w:r>
        <w:rPr>
          <w:lang w:val="en-NZ"/>
        </w:rPr>
        <w:t xml:space="preserve"> recognised as having a major impac</w:t>
      </w:r>
      <w:r w:rsidR="001901E3">
        <w:rPr>
          <w:lang w:val="en-NZ"/>
        </w:rPr>
        <w:t>t on the social and economic fu</w:t>
      </w:r>
      <w:r>
        <w:rPr>
          <w:lang w:val="en-NZ"/>
        </w:rPr>
        <w:t>ture of the sub-region.</w:t>
      </w:r>
    </w:p>
    <w:p w:rsidR="001901E3" w:rsidRDefault="001901E3" w:rsidP="001901E3">
      <w:pPr>
        <w:pStyle w:val="Heading2"/>
        <w:numPr>
          <w:ilvl w:val="0"/>
          <w:numId w:val="0"/>
        </w:numPr>
        <w:spacing w:before="120" w:after="120" w:line="320" w:lineRule="exact"/>
        <w:ind w:left="576"/>
        <w:rPr>
          <w:u w:val="none"/>
        </w:rPr>
      </w:pPr>
    </w:p>
    <w:p w:rsidR="00816B18" w:rsidRDefault="005E16AD" w:rsidP="005E16AD">
      <w:pPr>
        <w:pStyle w:val="Heading2"/>
        <w:spacing w:before="120" w:after="120" w:line="320" w:lineRule="exact"/>
        <w:rPr>
          <w:u w:val="none"/>
        </w:rPr>
      </w:pPr>
      <w:bookmarkStart w:id="5" w:name="_Toc340245217"/>
      <w:r w:rsidRPr="005E16AD">
        <w:rPr>
          <w:u w:val="none"/>
        </w:rPr>
        <w:t xml:space="preserve">Implications </w:t>
      </w:r>
      <w:r w:rsidR="00E96695">
        <w:rPr>
          <w:u w:val="none"/>
        </w:rPr>
        <w:t>of population ageing in the sub-region</w:t>
      </w:r>
      <w:bookmarkEnd w:id="5"/>
    </w:p>
    <w:p w:rsidR="0016679E" w:rsidRDefault="0016679E" w:rsidP="0016679E">
      <w:pPr>
        <w:pStyle w:val="BodyText"/>
        <w:spacing w:line="320" w:lineRule="exact"/>
        <w:ind w:left="0"/>
        <w:jc w:val="both"/>
      </w:pPr>
      <w:r w:rsidRPr="0016679E">
        <w:t xml:space="preserve">It is certain that global, national and regional population ageing will have a significant influence on the social and economic climate within the sub-region. The dynamic influences of the global ageing megatrend will impact on commodity markets, capital flow and labour supply, thereby affecting the economy of New Zealand and the sub-region. </w:t>
      </w:r>
      <w:r>
        <w:t xml:space="preserve"> </w:t>
      </w:r>
      <w:r w:rsidRPr="0016679E">
        <w:t xml:space="preserve">A critical </w:t>
      </w:r>
      <w:r w:rsidR="0015734E">
        <w:t xml:space="preserve">analysis of the regional issues </w:t>
      </w:r>
      <w:r w:rsidRPr="0016679E">
        <w:t>in th</w:t>
      </w:r>
      <w:r w:rsidR="0015734E">
        <w:t>e</w:t>
      </w:r>
      <w:r w:rsidRPr="0016679E">
        <w:t xml:space="preserve"> context</w:t>
      </w:r>
      <w:r w:rsidR="0015734E">
        <w:t xml:space="preserve"> of this report</w:t>
      </w:r>
      <w:r w:rsidRPr="0016679E">
        <w:t xml:space="preserve"> will benefit more stability, lead to business efficiencies</w:t>
      </w:r>
      <w:r w:rsidR="0015734E">
        <w:t>, inform housing options</w:t>
      </w:r>
      <w:r w:rsidRPr="0016679E">
        <w:t xml:space="preserve"> and position proactive community based responses. </w:t>
      </w:r>
    </w:p>
    <w:p w:rsidR="00FA3092" w:rsidRPr="0016679E" w:rsidRDefault="00FA3092" w:rsidP="00FA3092">
      <w:pPr>
        <w:pStyle w:val="BodyText"/>
        <w:spacing w:line="320" w:lineRule="exact"/>
        <w:ind w:left="0"/>
        <w:jc w:val="both"/>
      </w:pPr>
      <w:r w:rsidRPr="0016679E">
        <w:t>It is clear that a ‘business as usual’ approach over the next ten years will not be a mandate to continuing prosperity and community wellbeing. A shift is required to address the changing economic climate; to meet the ageing-in-place requirements of a maturing population, the challenge of workforce demands, or provide for the diverse care needs of the burgeoning numbers of older-old.</w:t>
      </w:r>
      <w:r w:rsidRPr="0016679E">
        <w:rPr>
          <w:rStyle w:val="FootnoteReference"/>
        </w:rPr>
        <w:footnoteReference w:id="3"/>
      </w:r>
    </w:p>
    <w:p w:rsidR="0016679E" w:rsidRPr="0016679E" w:rsidRDefault="0016679E" w:rsidP="0016679E">
      <w:pPr>
        <w:pStyle w:val="BodyText"/>
        <w:spacing w:line="320" w:lineRule="exact"/>
        <w:ind w:left="0"/>
        <w:jc w:val="both"/>
      </w:pPr>
      <w:r w:rsidRPr="0016679E">
        <w:t>There are opportunities to be gained from an understanding of the economic impact variables, adapting to these influences and responding to a new climate for innovation. There is additionally significant learning to be gained from the global context, trends, initiatives and responses to date, providing the sub-region with development potential.</w:t>
      </w:r>
    </w:p>
    <w:p w:rsidR="0016679E" w:rsidRPr="0097167D" w:rsidRDefault="0016679E" w:rsidP="0016679E">
      <w:pPr>
        <w:pStyle w:val="BodyText"/>
        <w:spacing w:line="320" w:lineRule="exact"/>
        <w:ind w:left="0"/>
        <w:jc w:val="both"/>
      </w:pPr>
      <w:r w:rsidRPr="0016679E">
        <w:t>Through SmartGrowth, the sub-region is ideally positioned to maximise the unique character of its ageing population. Leadership and collaboration within a broad ‘gerontology’ context can produce economic development from innovation in housing, education, healthcare, tourism and leisure together with quality high demand consumer products and services.</w:t>
      </w:r>
      <w:r>
        <w:t xml:space="preserve"> </w:t>
      </w:r>
    </w:p>
    <w:p w:rsidR="006B13DB" w:rsidRPr="006B13DB" w:rsidRDefault="00592963" w:rsidP="005E16AD">
      <w:pPr>
        <w:spacing w:before="120" w:after="120" w:line="320" w:lineRule="exact"/>
        <w:jc w:val="both"/>
      </w:pPr>
      <w:r>
        <w:t>It is crucial</w:t>
      </w:r>
      <w:r w:rsidR="006B13DB" w:rsidRPr="006B13DB">
        <w:t xml:space="preserve"> that </w:t>
      </w:r>
      <w:r w:rsidR="00E96695">
        <w:t>l</w:t>
      </w:r>
      <w:r w:rsidR="006B13DB" w:rsidRPr="006B13DB">
        <w:t xml:space="preserve">ocal </w:t>
      </w:r>
      <w:r w:rsidR="00E96695">
        <w:t>g</w:t>
      </w:r>
      <w:r w:rsidR="006B13DB" w:rsidRPr="006B13DB">
        <w:t xml:space="preserve">overnment, </w:t>
      </w:r>
      <w:r w:rsidR="00E96695">
        <w:t>centra</w:t>
      </w:r>
      <w:r w:rsidR="007D41B1">
        <w:t>l government agencies, voluntary</w:t>
      </w:r>
      <w:r w:rsidR="00E96695">
        <w:t xml:space="preserve"> agencies, business</w:t>
      </w:r>
      <w:r w:rsidR="006B13DB" w:rsidRPr="006B13DB">
        <w:t xml:space="preserve">, communities and </w:t>
      </w:r>
      <w:r w:rsidR="006B13DB" w:rsidRPr="007A2DEE">
        <w:t>individuals</w:t>
      </w:r>
      <w:r w:rsidR="00FA3092">
        <w:t xml:space="preserve"> collaborate to</w:t>
      </w:r>
      <w:r w:rsidR="006B13DB" w:rsidRPr="007A2DEE">
        <w:t xml:space="preserve"> understand and respond</w:t>
      </w:r>
      <w:r w:rsidR="006B13DB" w:rsidRPr="006B13DB">
        <w:t xml:space="preserve"> to the range of challenge</w:t>
      </w:r>
      <w:r w:rsidR="00E96695">
        <w:t xml:space="preserve">s and </w:t>
      </w:r>
      <w:r w:rsidR="006B13DB" w:rsidRPr="006B13DB">
        <w:t>opportunit</w:t>
      </w:r>
      <w:r w:rsidR="00E96695">
        <w:t>ies brought about by the ongoing ageing of the population</w:t>
      </w:r>
      <w:r w:rsidR="006B13DB" w:rsidRPr="006B13DB">
        <w:t xml:space="preserve"> in the </w:t>
      </w:r>
      <w:r w:rsidR="005F2CFF">
        <w:t>sub-region.</w:t>
      </w:r>
    </w:p>
    <w:p w:rsidR="00E96695" w:rsidRDefault="00E96695" w:rsidP="00E96695">
      <w:pPr>
        <w:spacing w:before="120" w:after="120" w:line="320" w:lineRule="exact"/>
        <w:jc w:val="both"/>
      </w:pPr>
      <w:r>
        <w:t xml:space="preserve">Ageing populations specifically impact on community and neighbourhood development, </w:t>
      </w:r>
      <w:r w:rsidR="007D41B1">
        <w:t xml:space="preserve">affordable housing approaches, </w:t>
      </w:r>
      <w:r>
        <w:t xml:space="preserve">planning for health and wellbeing, social care services, </w:t>
      </w:r>
      <w:r w:rsidR="007D41B1">
        <w:t xml:space="preserve">and </w:t>
      </w:r>
      <w:r>
        <w:t>tertiary education provision.</w:t>
      </w:r>
      <w:r w:rsidR="00D51940">
        <w:t xml:space="preserve">  Accordingly, Councils will need to allocate resources to accommodate a shift to active ageing-in-place environments.  For example, unlocking low cost daytime access to public facilities, swimming pools and community meeting places. </w:t>
      </w:r>
    </w:p>
    <w:p w:rsidR="00DB1EF6" w:rsidRDefault="00DB1EF6" w:rsidP="00DB1EF6">
      <w:pPr>
        <w:spacing w:before="120" w:after="120" w:line="320" w:lineRule="exact"/>
        <w:jc w:val="both"/>
      </w:pPr>
      <w:r w:rsidRPr="00DB1EF6">
        <w:t xml:space="preserve">The demographic </w:t>
      </w:r>
      <w:r w:rsidR="003B0C5B" w:rsidRPr="00DB1EF6">
        <w:t>differences between the Tauranga City, Western Bay of Plenty</w:t>
      </w:r>
      <w:r w:rsidR="003B0C5B">
        <w:t xml:space="preserve"> District</w:t>
      </w:r>
      <w:r w:rsidR="003B0C5B" w:rsidRPr="00DB1EF6">
        <w:t xml:space="preserve"> and </w:t>
      </w:r>
      <w:r w:rsidR="003B0C5B">
        <w:t>Māori</w:t>
      </w:r>
      <w:r w:rsidR="003B0C5B" w:rsidRPr="00DB1EF6">
        <w:t xml:space="preserve"> profiles highlight</w:t>
      </w:r>
      <w:r w:rsidRPr="00DB1EF6">
        <w:t xml:space="preserve"> a need </w:t>
      </w:r>
      <w:r>
        <w:t>to ‘drill down’</w:t>
      </w:r>
      <w:r w:rsidRPr="00DB1EF6">
        <w:t xml:space="preserve"> to understand ageing and ethnic diversity in the region. The significant diffe</w:t>
      </w:r>
      <w:r>
        <w:t>re</w:t>
      </w:r>
      <w:r w:rsidRPr="00DB1EF6">
        <w:t>nces indicate a need for specificity in policy making.</w:t>
      </w:r>
      <w:r>
        <w:t xml:space="preserve"> </w:t>
      </w:r>
    </w:p>
    <w:p w:rsidR="007D41B1" w:rsidRDefault="007D41B1" w:rsidP="007D41B1">
      <w:pPr>
        <w:pStyle w:val="BodyText"/>
        <w:spacing w:line="320" w:lineRule="exact"/>
        <w:ind w:left="0"/>
        <w:jc w:val="both"/>
        <w:rPr>
          <w:lang w:val="en-NZ"/>
        </w:rPr>
      </w:pPr>
      <w:r w:rsidRPr="00DA7967">
        <w:rPr>
          <w:lang w:val="en-NZ"/>
        </w:rPr>
        <w:t>Noting the significance of the demographic transition within the sub-region (which has started now), it is imperative for local government and SmartGrowth to recognise housing as a fundamental determinant to wellbeing.  The goal should be to support communities in which older people can choose from a variety of types of homes that keep</w:t>
      </w:r>
      <w:r>
        <w:rPr>
          <w:lang w:val="en-NZ"/>
        </w:rPr>
        <w:t xml:space="preserve"> them well, keep them connected, and keep</w:t>
      </w:r>
      <w:r w:rsidRPr="00DA7967">
        <w:rPr>
          <w:lang w:val="en-NZ"/>
        </w:rPr>
        <w:t xml:space="preserve"> them productive.</w:t>
      </w:r>
    </w:p>
    <w:p w:rsidR="007D41B1" w:rsidRDefault="007D41B1" w:rsidP="007D41B1">
      <w:pPr>
        <w:spacing w:before="120" w:after="120" w:line="320" w:lineRule="exact"/>
        <w:jc w:val="both"/>
      </w:pPr>
      <w:r w:rsidRPr="006B13DB">
        <w:t>The impact of a diminishing workforce caused by the retiring of the boomer generation and the ongoing non-replacement in post boomer generations (low birth-rate) is a global, national and regional issue inf</w:t>
      </w:r>
      <w:r>
        <w:t>luencing sub-</w:t>
      </w:r>
      <w:r w:rsidRPr="006B13DB">
        <w:t xml:space="preserve">regional public policy and economic growth.  </w:t>
      </w:r>
    </w:p>
    <w:p w:rsidR="007D41B1" w:rsidRDefault="007D41B1" w:rsidP="007D41B1">
      <w:pPr>
        <w:spacing w:before="120" w:after="120" w:line="320" w:lineRule="exact"/>
        <w:jc w:val="both"/>
      </w:pPr>
      <w:r w:rsidRPr="00592963">
        <w:t>It is clear that the</w:t>
      </w:r>
      <w:r>
        <w:t xml:space="preserve"> sustainability of the future sub-regional workforce needs to be assessed in order to maintain</w:t>
      </w:r>
      <w:r w:rsidRPr="00592963">
        <w:t xml:space="preserve"> productivity</w:t>
      </w:r>
      <w:r>
        <w:t>.  Wo</w:t>
      </w:r>
      <w:r w:rsidRPr="00592963">
        <w:t>rkplace</w:t>
      </w:r>
      <w:r>
        <w:t>s will need to</w:t>
      </w:r>
      <w:r w:rsidRPr="00592963">
        <w:t xml:space="preserve"> adapt</w:t>
      </w:r>
      <w:r>
        <w:t xml:space="preserve"> to retain a mature workforce.</w:t>
      </w:r>
    </w:p>
    <w:p w:rsidR="00293F81" w:rsidRDefault="00293F81" w:rsidP="00293F81">
      <w:pPr>
        <w:spacing w:before="120" w:after="120" w:line="320" w:lineRule="exact"/>
        <w:jc w:val="both"/>
      </w:pPr>
      <w:r w:rsidRPr="006B13DB">
        <w:t>The sub-region can proactively utili</w:t>
      </w:r>
      <w:r>
        <w:t>s</w:t>
      </w:r>
      <w:r w:rsidRPr="006B13DB">
        <w:t xml:space="preserve">e the high ageing aspect of its demographic structure and increasing longevity to leverage opportunity and innovation.  This applies to all aspects of economic activity, urban development and housing, key industries such as agriculture, horticulture food production, commercial activity, tourism, healthcare, finance and recreation businesses.  </w:t>
      </w:r>
    </w:p>
    <w:p w:rsidR="00F2509F" w:rsidRDefault="00F2509F" w:rsidP="00F2509F">
      <w:pPr>
        <w:spacing w:before="120" w:after="120" w:line="320" w:lineRule="exact"/>
        <w:jc w:val="both"/>
      </w:pPr>
      <w:r>
        <w:t>SmartGrowth is well placed to encourage an integrated, multi-agency strategic framework to respond to the implications of population ageing in the sub-region and capitalise on the</w:t>
      </w:r>
      <w:r w:rsidRPr="00F2509F">
        <w:t xml:space="preserve"> </w:t>
      </w:r>
      <w:r w:rsidRPr="006B13DB">
        <w:t>uniqueness of significant numbers of older people as they age over the next forty years</w:t>
      </w:r>
      <w:r>
        <w:t xml:space="preserve">.  </w:t>
      </w:r>
    </w:p>
    <w:p w:rsidR="00293F81" w:rsidRDefault="00293F81" w:rsidP="00293F81">
      <w:pPr>
        <w:spacing w:before="120" w:after="120" w:line="320" w:lineRule="exact"/>
        <w:jc w:val="both"/>
      </w:pPr>
      <w:r w:rsidRPr="006B13DB">
        <w:t>The boomer cohort is an ‘industry’ in itself with high quality consumer capacity, and huge untapped capacity – ‘older but not old and not the same.’</w:t>
      </w:r>
    </w:p>
    <w:p w:rsidR="005A3EF1" w:rsidRDefault="00E96695" w:rsidP="005F2CFF">
      <w:pPr>
        <w:spacing w:before="120" w:after="120" w:line="320" w:lineRule="exact"/>
        <w:jc w:val="both"/>
        <w:rPr>
          <w:i/>
        </w:rPr>
      </w:pPr>
      <w:r>
        <w:rPr>
          <w:i/>
        </w:rPr>
        <w:t>Essentially population</w:t>
      </w:r>
      <w:r w:rsidR="007D41B1">
        <w:rPr>
          <w:i/>
        </w:rPr>
        <w:t xml:space="preserve"> ageing</w:t>
      </w:r>
      <w:r>
        <w:rPr>
          <w:i/>
        </w:rPr>
        <w:t xml:space="preserve"> is a multi-generational phenomena that requires a life course approach to managing the effects and maximising potential outcomes. </w:t>
      </w:r>
    </w:p>
    <w:p w:rsidR="00DA7967" w:rsidRDefault="00DA7967" w:rsidP="005F2CFF">
      <w:pPr>
        <w:spacing w:before="120" w:after="120" w:line="320" w:lineRule="exact"/>
        <w:jc w:val="both"/>
        <w:rPr>
          <w:i/>
        </w:rPr>
      </w:pPr>
    </w:p>
    <w:p w:rsidR="00293F81" w:rsidRPr="00DA7967" w:rsidRDefault="00293F81" w:rsidP="00293F81">
      <w:pPr>
        <w:pStyle w:val="Heading3"/>
        <w:rPr>
          <w:b/>
        </w:rPr>
      </w:pPr>
      <w:r w:rsidRPr="00DA7967">
        <w:rPr>
          <w:b/>
        </w:rPr>
        <w:t>Collaboration, integration and governance</w:t>
      </w:r>
    </w:p>
    <w:p w:rsidR="00293F81" w:rsidRDefault="00293F81" w:rsidP="00293F81">
      <w:pPr>
        <w:pStyle w:val="BodyText"/>
        <w:spacing w:line="320" w:lineRule="exact"/>
        <w:ind w:left="0"/>
        <w:jc w:val="both"/>
        <w:rPr>
          <w:lang w:val="en-NZ"/>
        </w:rPr>
      </w:pPr>
      <w:r>
        <w:rPr>
          <w:lang w:val="en-NZ"/>
        </w:rPr>
        <w:t>This report highlights:</w:t>
      </w:r>
    </w:p>
    <w:p w:rsidR="00293F81" w:rsidRDefault="00DA14B4" w:rsidP="006C231E">
      <w:pPr>
        <w:pStyle w:val="BodyText"/>
        <w:numPr>
          <w:ilvl w:val="0"/>
          <w:numId w:val="11"/>
        </w:numPr>
        <w:spacing w:line="320" w:lineRule="exact"/>
        <w:ind w:left="284" w:hanging="284"/>
        <w:jc w:val="both"/>
        <w:rPr>
          <w:lang w:val="en-NZ"/>
        </w:rPr>
      </w:pPr>
      <w:r>
        <w:rPr>
          <w:lang w:val="en-NZ"/>
        </w:rPr>
        <w:t>T</w:t>
      </w:r>
      <w:r w:rsidR="00293F81">
        <w:rPr>
          <w:lang w:val="en-NZ"/>
        </w:rPr>
        <w:t>he need for more inclusive</w:t>
      </w:r>
      <w:r w:rsidR="00293F81" w:rsidRPr="00B20CD2">
        <w:rPr>
          <w:lang w:val="en-NZ"/>
        </w:rPr>
        <w:t xml:space="preserve"> </w:t>
      </w:r>
      <w:r>
        <w:rPr>
          <w:lang w:val="en-NZ"/>
        </w:rPr>
        <w:t xml:space="preserve">SmartGrowth </w:t>
      </w:r>
      <w:r w:rsidR="00293F81" w:rsidRPr="00B20CD2">
        <w:rPr>
          <w:lang w:val="en-NZ"/>
        </w:rPr>
        <w:t>governance</w:t>
      </w:r>
      <w:r w:rsidR="00293F81">
        <w:rPr>
          <w:lang w:val="en-NZ"/>
        </w:rPr>
        <w:t xml:space="preserve"> arrangements that</w:t>
      </w:r>
      <w:r>
        <w:rPr>
          <w:lang w:val="en-NZ"/>
        </w:rPr>
        <w:t xml:space="preserve"> </w:t>
      </w:r>
      <w:r w:rsidR="00293F81" w:rsidRPr="00B20CD2">
        <w:rPr>
          <w:lang w:val="en-NZ"/>
        </w:rPr>
        <w:t>appropriately reflect the key stakeholders who can influence and respond to population ageing</w:t>
      </w:r>
      <w:r w:rsidR="00AF7833">
        <w:rPr>
          <w:lang w:val="en-NZ"/>
        </w:rPr>
        <w:t xml:space="preserve"> at a sub-regional level;</w:t>
      </w:r>
    </w:p>
    <w:p w:rsidR="001C7D5D" w:rsidRDefault="001C7D5D" w:rsidP="006C231E">
      <w:pPr>
        <w:pStyle w:val="BodyText"/>
        <w:numPr>
          <w:ilvl w:val="0"/>
          <w:numId w:val="11"/>
        </w:numPr>
        <w:spacing w:line="320" w:lineRule="exact"/>
        <w:ind w:left="284" w:hanging="284"/>
        <w:jc w:val="both"/>
        <w:rPr>
          <w:lang w:val="en-NZ"/>
        </w:rPr>
      </w:pPr>
      <w:r>
        <w:rPr>
          <w:lang w:val="en-NZ"/>
        </w:rPr>
        <w:t>That</w:t>
      </w:r>
      <w:r w:rsidR="00B42E13">
        <w:rPr>
          <w:lang w:val="en-NZ"/>
        </w:rPr>
        <w:t xml:space="preserve"> in this climate of constraint</w:t>
      </w:r>
      <w:r>
        <w:rPr>
          <w:lang w:val="en-NZ"/>
        </w:rPr>
        <w:t xml:space="preserve"> market led approaches</w:t>
      </w:r>
      <w:r w:rsidR="00B42E13">
        <w:rPr>
          <w:lang w:val="en-NZ"/>
        </w:rPr>
        <w:t xml:space="preserve"> alone</w:t>
      </w:r>
      <w:r>
        <w:rPr>
          <w:lang w:val="en-NZ"/>
        </w:rPr>
        <w:t xml:space="preserve"> will not deliver the required social outcomes for the future</w:t>
      </w:r>
      <w:r w:rsidR="00B42E13">
        <w:rPr>
          <w:lang w:val="en-NZ"/>
        </w:rPr>
        <w:t>;</w:t>
      </w:r>
    </w:p>
    <w:p w:rsidR="00293F81" w:rsidRDefault="00951E1E" w:rsidP="006C231E">
      <w:pPr>
        <w:pStyle w:val="BodyText"/>
        <w:numPr>
          <w:ilvl w:val="0"/>
          <w:numId w:val="11"/>
        </w:numPr>
        <w:spacing w:line="320" w:lineRule="exact"/>
        <w:ind w:left="284" w:hanging="284"/>
        <w:jc w:val="both"/>
        <w:rPr>
          <w:lang w:val="en-NZ"/>
        </w:rPr>
      </w:pPr>
      <w:r>
        <w:rPr>
          <w:lang w:val="en-NZ"/>
        </w:rPr>
        <w:t>That d</w:t>
      </w:r>
      <w:r w:rsidR="00293F81">
        <w:rPr>
          <w:lang w:val="en-NZ"/>
        </w:rPr>
        <w:t xml:space="preserve">ecision-makers, funders and providers urgently need to better understand the changing demographic structure of the sub-region to improve the knowledge base and provide a platform </w:t>
      </w:r>
      <w:r>
        <w:rPr>
          <w:lang w:val="en-NZ"/>
        </w:rPr>
        <w:t xml:space="preserve">to </w:t>
      </w:r>
      <w:r w:rsidR="00293F81">
        <w:rPr>
          <w:lang w:val="en-NZ"/>
        </w:rPr>
        <w:t>plan appropriately for the structural change</w:t>
      </w:r>
      <w:r w:rsidR="00AF7833">
        <w:rPr>
          <w:lang w:val="en-NZ"/>
        </w:rPr>
        <w:t xml:space="preserve"> that population ageing brings;</w:t>
      </w:r>
    </w:p>
    <w:p w:rsidR="00951E1E" w:rsidRDefault="00951E1E" w:rsidP="006C231E">
      <w:pPr>
        <w:pStyle w:val="BodyText"/>
        <w:numPr>
          <w:ilvl w:val="0"/>
          <w:numId w:val="11"/>
        </w:numPr>
        <w:spacing w:line="320" w:lineRule="exact"/>
        <w:ind w:left="284" w:hanging="284"/>
        <w:rPr>
          <w:lang w:val="en-NZ"/>
        </w:rPr>
      </w:pPr>
      <w:r>
        <w:rPr>
          <w:lang w:val="en-NZ"/>
        </w:rPr>
        <w:t>That t</w:t>
      </w:r>
      <w:r w:rsidR="00293F81">
        <w:rPr>
          <w:lang w:val="en-NZ"/>
        </w:rPr>
        <w:t>he status quo of a ‘de-coupled’/fragmented approach to social, health, housing and infrastructure planning is not sustainable.</w:t>
      </w:r>
      <w:r w:rsidR="001C7D5D">
        <w:rPr>
          <w:lang w:val="en-NZ"/>
        </w:rPr>
        <w:t xml:space="preserve">  </w:t>
      </w:r>
    </w:p>
    <w:p w:rsidR="001C7D5D" w:rsidRDefault="001C7D5D" w:rsidP="005F2CFF">
      <w:pPr>
        <w:spacing w:before="120" w:after="120" w:line="320" w:lineRule="exact"/>
        <w:jc w:val="both"/>
        <w:rPr>
          <w:i/>
        </w:rPr>
      </w:pPr>
    </w:p>
    <w:p w:rsidR="00B5046C" w:rsidRDefault="00B5046C" w:rsidP="005F2CFF">
      <w:pPr>
        <w:spacing w:before="120" w:after="120" w:line="320" w:lineRule="exact"/>
        <w:jc w:val="both"/>
        <w:rPr>
          <w:i/>
        </w:rPr>
      </w:pPr>
    </w:p>
    <w:p w:rsidR="005F2CFF" w:rsidRPr="00DA7967" w:rsidRDefault="00F92C25" w:rsidP="00293F81">
      <w:pPr>
        <w:pStyle w:val="Heading3"/>
        <w:rPr>
          <w:b/>
        </w:rPr>
      </w:pPr>
      <w:r w:rsidRPr="00DA7967">
        <w:rPr>
          <w:b/>
        </w:rPr>
        <w:t>Economy</w:t>
      </w:r>
      <w:r w:rsidR="005F2CFF" w:rsidRPr="00DA7967">
        <w:rPr>
          <w:b/>
        </w:rPr>
        <w:t xml:space="preserve"> / employment </w:t>
      </w:r>
    </w:p>
    <w:p w:rsidR="005F2CFF" w:rsidRPr="006B13DB" w:rsidRDefault="005F2CFF" w:rsidP="005A3EF1">
      <w:pPr>
        <w:spacing w:before="120" w:after="120" w:line="320" w:lineRule="exact"/>
        <w:jc w:val="both"/>
      </w:pPr>
      <w:r w:rsidRPr="006B13DB">
        <w:t xml:space="preserve">This report </w:t>
      </w:r>
      <w:r>
        <w:t>highlights</w:t>
      </w:r>
      <w:r w:rsidRPr="006B13DB">
        <w:t>:</w:t>
      </w:r>
    </w:p>
    <w:p w:rsidR="00951E1E" w:rsidRDefault="00951E1E" w:rsidP="006C231E">
      <w:pPr>
        <w:pStyle w:val="ListParagraph"/>
        <w:numPr>
          <w:ilvl w:val="0"/>
          <w:numId w:val="19"/>
        </w:numPr>
        <w:spacing w:before="120" w:after="120" w:line="320" w:lineRule="exact"/>
        <w:ind w:left="284" w:hanging="284"/>
        <w:jc w:val="both"/>
        <w:rPr>
          <w:rFonts w:ascii="Arial" w:hAnsi="Arial" w:cs="Arial"/>
        </w:rPr>
      </w:pPr>
      <w:r w:rsidRPr="006B13DB">
        <w:rPr>
          <w:rFonts w:ascii="Arial" w:hAnsi="Arial" w:cs="Arial"/>
        </w:rPr>
        <w:t>The influence of global, national and local ageing trends o</w:t>
      </w:r>
      <w:r w:rsidR="00AF7833">
        <w:rPr>
          <w:rFonts w:ascii="Arial" w:hAnsi="Arial" w:cs="Arial"/>
        </w:rPr>
        <w:t>n business and growth prospects;</w:t>
      </w:r>
    </w:p>
    <w:p w:rsidR="00951E1E" w:rsidRDefault="00951E1E" w:rsidP="006C231E">
      <w:pPr>
        <w:pStyle w:val="ListParagraph"/>
        <w:numPr>
          <w:ilvl w:val="0"/>
          <w:numId w:val="19"/>
        </w:numPr>
        <w:spacing w:before="120" w:after="120" w:line="320" w:lineRule="exact"/>
        <w:ind w:left="284" w:hanging="284"/>
        <w:jc w:val="both"/>
        <w:rPr>
          <w:rFonts w:ascii="Arial" w:hAnsi="Arial" w:cs="Arial"/>
        </w:rPr>
      </w:pPr>
      <w:r>
        <w:rPr>
          <w:rFonts w:ascii="Arial" w:hAnsi="Arial" w:cs="Arial"/>
        </w:rPr>
        <w:t>The r</w:t>
      </w:r>
      <w:r w:rsidRPr="006B13DB">
        <w:rPr>
          <w:rFonts w:ascii="Arial" w:hAnsi="Arial" w:cs="Arial"/>
        </w:rPr>
        <w:t>elevance of population ageing to the economy, public, private and social</w:t>
      </w:r>
      <w:r>
        <w:rPr>
          <w:rFonts w:ascii="Arial" w:hAnsi="Arial" w:cs="Arial"/>
        </w:rPr>
        <w:t xml:space="preserve"> sectors</w:t>
      </w:r>
      <w:r w:rsidR="00AF7833">
        <w:rPr>
          <w:rFonts w:ascii="Arial" w:hAnsi="Arial" w:cs="Arial"/>
        </w:rPr>
        <w:t>;</w:t>
      </w:r>
      <w:r>
        <w:rPr>
          <w:rFonts w:ascii="Arial" w:hAnsi="Arial" w:cs="Arial"/>
        </w:rPr>
        <w:t xml:space="preserve"> </w:t>
      </w:r>
    </w:p>
    <w:p w:rsidR="005F2CFF" w:rsidRPr="006B13DB" w:rsidRDefault="00951E1E" w:rsidP="006C231E">
      <w:pPr>
        <w:pStyle w:val="ListParagraph"/>
        <w:numPr>
          <w:ilvl w:val="0"/>
          <w:numId w:val="19"/>
        </w:numPr>
        <w:spacing w:before="120" w:after="120" w:line="320" w:lineRule="exact"/>
        <w:ind w:left="284" w:hanging="284"/>
        <w:jc w:val="both"/>
        <w:rPr>
          <w:rFonts w:ascii="Arial" w:hAnsi="Arial" w:cs="Arial"/>
        </w:rPr>
      </w:pPr>
      <w:r>
        <w:rPr>
          <w:rFonts w:ascii="Arial" w:hAnsi="Arial" w:cs="Arial"/>
        </w:rPr>
        <w:t>The i</w:t>
      </w:r>
      <w:r w:rsidR="005F2CFF" w:rsidRPr="006B13DB">
        <w:rPr>
          <w:rFonts w:ascii="Arial" w:hAnsi="Arial" w:cs="Arial"/>
        </w:rPr>
        <w:t>mportance of increasing business and community understanding of the im</w:t>
      </w:r>
      <w:r w:rsidR="00AF7833">
        <w:rPr>
          <w:rFonts w:ascii="Arial" w:hAnsi="Arial" w:cs="Arial"/>
        </w:rPr>
        <w:t>pact</w:t>
      </w:r>
      <w:r w:rsidR="00002FE8">
        <w:rPr>
          <w:rFonts w:ascii="Arial" w:hAnsi="Arial" w:cs="Arial"/>
        </w:rPr>
        <w:t xml:space="preserve"> and implications</w:t>
      </w:r>
      <w:r w:rsidR="00AF7833">
        <w:rPr>
          <w:rFonts w:ascii="Arial" w:hAnsi="Arial" w:cs="Arial"/>
        </w:rPr>
        <w:t xml:space="preserve"> of population ageing;</w:t>
      </w:r>
    </w:p>
    <w:p w:rsidR="0085434F" w:rsidRPr="0085434F" w:rsidRDefault="00951E1E" w:rsidP="006C231E">
      <w:pPr>
        <w:pStyle w:val="BodyText"/>
        <w:numPr>
          <w:ilvl w:val="0"/>
          <w:numId w:val="19"/>
        </w:numPr>
        <w:spacing w:line="320" w:lineRule="exact"/>
        <w:ind w:left="284" w:hanging="284"/>
        <w:jc w:val="both"/>
      </w:pPr>
      <w:r w:rsidRPr="00951E1E">
        <w:t>An urgent impetus for business workforce and workplace ageing analyses to strengthen mature workforce engagement, capability and capacity building to ensure continuing productivity</w:t>
      </w:r>
      <w:r w:rsidR="00AF7833">
        <w:t>;</w:t>
      </w:r>
      <w:r w:rsidR="0085434F" w:rsidRPr="0085434F">
        <w:rPr>
          <w:highlight w:val="yellow"/>
        </w:rPr>
        <w:t xml:space="preserve"> </w:t>
      </w:r>
    </w:p>
    <w:p w:rsidR="00951E1E" w:rsidRPr="0085434F" w:rsidRDefault="0085434F" w:rsidP="006C231E">
      <w:pPr>
        <w:pStyle w:val="BodyText"/>
        <w:numPr>
          <w:ilvl w:val="0"/>
          <w:numId w:val="19"/>
        </w:numPr>
        <w:spacing w:line="320" w:lineRule="exact"/>
        <w:ind w:left="284" w:hanging="284"/>
        <w:jc w:val="both"/>
      </w:pPr>
      <w:r>
        <w:t>A</w:t>
      </w:r>
      <w:r w:rsidRPr="0085434F">
        <w:t xml:space="preserve"> need to ensure inclusion of the social sector in future skills analysis given that it is a significant employer of low income workers, mainly women with potential tertiary aspirations. Mature people comprise the majority of Waikato University student enrolments. </w:t>
      </w:r>
    </w:p>
    <w:p w:rsidR="00951E1E" w:rsidRDefault="005F2CFF" w:rsidP="006C231E">
      <w:pPr>
        <w:pStyle w:val="ListParagraph"/>
        <w:numPr>
          <w:ilvl w:val="0"/>
          <w:numId w:val="19"/>
        </w:numPr>
        <w:spacing w:before="120" w:after="120" w:line="320" w:lineRule="exact"/>
        <w:ind w:left="284" w:hanging="284"/>
        <w:jc w:val="both"/>
        <w:rPr>
          <w:rFonts w:ascii="Arial" w:hAnsi="Arial" w:cs="Arial"/>
        </w:rPr>
      </w:pPr>
      <w:r w:rsidRPr="00951E1E">
        <w:rPr>
          <w:rFonts w:ascii="Arial" w:hAnsi="Arial" w:cs="Arial"/>
        </w:rPr>
        <w:t xml:space="preserve">The importance of </w:t>
      </w:r>
      <w:r w:rsidR="00DD1825" w:rsidRPr="00951E1E">
        <w:rPr>
          <w:rFonts w:ascii="Arial" w:hAnsi="Arial" w:cs="Arial"/>
        </w:rPr>
        <w:t xml:space="preserve">promoting </w:t>
      </w:r>
      <w:r w:rsidRPr="00951E1E">
        <w:rPr>
          <w:rFonts w:ascii="Arial" w:hAnsi="Arial" w:cs="Arial"/>
        </w:rPr>
        <w:t>age-related innovati</w:t>
      </w:r>
      <w:r w:rsidR="00AF7833">
        <w:rPr>
          <w:rFonts w:ascii="Arial" w:hAnsi="Arial" w:cs="Arial"/>
        </w:rPr>
        <w:t>on;</w:t>
      </w:r>
    </w:p>
    <w:p w:rsidR="00951E1E" w:rsidRDefault="005F2CFF" w:rsidP="006C231E">
      <w:pPr>
        <w:pStyle w:val="ListParagraph"/>
        <w:numPr>
          <w:ilvl w:val="0"/>
          <w:numId w:val="19"/>
        </w:numPr>
        <w:spacing w:before="120" w:after="120" w:line="320" w:lineRule="exact"/>
        <w:ind w:left="284" w:hanging="284"/>
        <w:jc w:val="both"/>
        <w:rPr>
          <w:rFonts w:ascii="Arial" w:hAnsi="Arial" w:cs="Arial"/>
        </w:rPr>
      </w:pPr>
      <w:r w:rsidRPr="00951E1E">
        <w:rPr>
          <w:rFonts w:ascii="Arial" w:hAnsi="Arial" w:cs="Arial"/>
        </w:rPr>
        <w:t>Prospects for unique sub-regional innovation and specialisation, pa</w:t>
      </w:r>
      <w:r w:rsidR="00AF7833">
        <w:rPr>
          <w:rFonts w:ascii="Arial" w:hAnsi="Arial" w:cs="Arial"/>
        </w:rPr>
        <w:t>rticularly in the health sector;</w:t>
      </w:r>
    </w:p>
    <w:p w:rsidR="00685783" w:rsidRDefault="00951E1E" w:rsidP="006C231E">
      <w:pPr>
        <w:pStyle w:val="ListParagraph"/>
        <w:numPr>
          <w:ilvl w:val="0"/>
          <w:numId w:val="19"/>
        </w:numPr>
        <w:spacing w:before="120" w:after="120" w:line="320" w:lineRule="exact"/>
        <w:ind w:left="284" w:hanging="284"/>
        <w:jc w:val="both"/>
        <w:rPr>
          <w:rFonts w:ascii="Arial" w:hAnsi="Arial" w:cs="Arial"/>
        </w:rPr>
      </w:pPr>
      <w:r>
        <w:rPr>
          <w:rFonts w:ascii="Arial" w:hAnsi="Arial" w:cs="Arial"/>
        </w:rPr>
        <w:t>The benefits of i</w:t>
      </w:r>
      <w:r w:rsidR="00DD1825" w:rsidRPr="00951E1E">
        <w:rPr>
          <w:rFonts w:ascii="Arial" w:hAnsi="Arial" w:cs="Arial"/>
        </w:rPr>
        <w:t>nvestment in</w:t>
      </w:r>
      <w:r>
        <w:rPr>
          <w:rFonts w:ascii="Arial" w:hAnsi="Arial" w:cs="Arial"/>
        </w:rPr>
        <w:t xml:space="preserve"> tertiary education opportunities to foster</w:t>
      </w:r>
      <w:r w:rsidR="00DD1825" w:rsidRPr="00951E1E">
        <w:rPr>
          <w:rFonts w:ascii="Arial" w:hAnsi="Arial" w:cs="Arial"/>
        </w:rPr>
        <w:t xml:space="preserve"> lifelong learning and retain mature workforce capacity and capability targeted at key production sectors, health and social care services</w:t>
      </w:r>
      <w:r w:rsidR="00AF7833">
        <w:rPr>
          <w:rFonts w:ascii="Arial" w:hAnsi="Arial" w:cs="Arial"/>
        </w:rPr>
        <w:t>.</w:t>
      </w:r>
    </w:p>
    <w:p w:rsidR="0085434F" w:rsidRPr="00951E1E" w:rsidRDefault="0085434F" w:rsidP="0085434F">
      <w:pPr>
        <w:pStyle w:val="ListParagraph"/>
        <w:spacing w:before="120" w:after="120" w:line="320" w:lineRule="exact"/>
        <w:ind w:left="284"/>
        <w:jc w:val="both"/>
        <w:rPr>
          <w:rFonts w:ascii="Arial" w:hAnsi="Arial" w:cs="Arial"/>
        </w:rPr>
      </w:pPr>
    </w:p>
    <w:p w:rsidR="00F92C25" w:rsidRPr="00DA7967" w:rsidRDefault="00AF15D4" w:rsidP="00581B9A">
      <w:pPr>
        <w:pStyle w:val="Heading3"/>
        <w:rPr>
          <w:b/>
        </w:rPr>
      </w:pPr>
      <w:r>
        <w:rPr>
          <w:b/>
        </w:rPr>
        <w:t>Liveable communities</w:t>
      </w:r>
    </w:p>
    <w:p w:rsidR="00E73A36" w:rsidRDefault="00F92C25" w:rsidP="00951E1E">
      <w:pPr>
        <w:pStyle w:val="BodyText"/>
        <w:spacing w:line="320" w:lineRule="exact"/>
        <w:ind w:left="0"/>
        <w:jc w:val="both"/>
        <w:rPr>
          <w:lang w:val="en-NZ"/>
        </w:rPr>
      </w:pPr>
      <w:r>
        <w:rPr>
          <w:lang w:val="en-NZ"/>
        </w:rPr>
        <w:t>This report highlights</w:t>
      </w:r>
      <w:r w:rsidR="00E73A36">
        <w:rPr>
          <w:lang w:val="en-NZ"/>
        </w:rPr>
        <w:t>:</w:t>
      </w:r>
    </w:p>
    <w:p w:rsidR="00E73A36" w:rsidRPr="00E73A36" w:rsidRDefault="00E73A36" w:rsidP="006C231E">
      <w:pPr>
        <w:pStyle w:val="ListParagraph"/>
        <w:numPr>
          <w:ilvl w:val="0"/>
          <w:numId w:val="20"/>
        </w:numPr>
        <w:spacing w:before="120" w:after="120" w:line="320" w:lineRule="exact"/>
        <w:ind w:left="284" w:hanging="284"/>
        <w:jc w:val="both"/>
        <w:rPr>
          <w:rFonts w:ascii="Arial" w:hAnsi="Arial" w:cs="Arial"/>
        </w:rPr>
      </w:pPr>
      <w:r w:rsidRPr="00E73A36">
        <w:rPr>
          <w:rFonts w:ascii="Arial" w:hAnsi="Arial" w:cs="Arial"/>
        </w:rPr>
        <w:t>The importance of community capacity building to provide for supportive age-friendly,  ageing-in–place neighbourhoods</w:t>
      </w:r>
      <w:r w:rsidR="00AF7833">
        <w:rPr>
          <w:rFonts w:ascii="Arial" w:hAnsi="Arial" w:cs="Arial"/>
        </w:rPr>
        <w:t>;</w:t>
      </w:r>
    </w:p>
    <w:p w:rsidR="00E73A36" w:rsidRPr="00E73A36" w:rsidRDefault="00E73A36" w:rsidP="006C231E">
      <w:pPr>
        <w:pStyle w:val="ListParagraph"/>
        <w:numPr>
          <w:ilvl w:val="0"/>
          <w:numId w:val="20"/>
        </w:numPr>
        <w:spacing w:before="120" w:after="120" w:line="320" w:lineRule="exact"/>
        <w:ind w:left="284" w:hanging="284"/>
        <w:jc w:val="both"/>
        <w:rPr>
          <w:rFonts w:ascii="Arial" w:hAnsi="Arial" w:cs="Arial"/>
        </w:rPr>
      </w:pPr>
      <w:r w:rsidRPr="00E73A36">
        <w:rPr>
          <w:rFonts w:ascii="Arial" w:hAnsi="Arial" w:cs="Arial"/>
        </w:rPr>
        <w:t>Primacy for active ageing, maintaining independence, intergenerational connectivity and social inclusion</w:t>
      </w:r>
      <w:r w:rsidR="00AF7833">
        <w:rPr>
          <w:rFonts w:ascii="Arial" w:hAnsi="Arial" w:cs="Arial"/>
        </w:rPr>
        <w:t>;</w:t>
      </w:r>
    </w:p>
    <w:p w:rsidR="00E73A36" w:rsidRDefault="00E73A36" w:rsidP="006C231E">
      <w:pPr>
        <w:pStyle w:val="ListParagraph"/>
        <w:numPr>
          <w:ilvl w:val="0"/>
          <w:numId w:val="20"/>
        </w:numPr>
        <w:spacing w:before="120" w:after="120" w:line="320" w:lineRule="exact"/>
        <w:ind w:left="284" w:hanging="284"/>
        <w:jc w:val="both"/>
        <w:rPr>
          <w:rFonts w:ascii="Arial" w:hAnsi="Arial" w:cs="Arial"/>
        </w:rPr>
      </w:pPr>
      <w:r w:rsidRPr="00E73A36">
        <w:rPr>
          <w:rFonts w:ascii="Arial" w:hAnsi="Arial" w:cs="Arial"/>
        </w:rPr>
        <w:t>That communities need to be involved to a much greater extent in shaping policy and planning approaches.</w:t>
      </w:r>
    </w:p>
    <w:p w:rsidR="000F1412" w:rsidRPr="000F1412" w:rsidRDefault="000F1412" w:rsidP="000F1412">
      <w:pPr>
        <w:pStyle w:val="BodyText"/>
        <w:numPr>
          <w:ilvl w:val="0"/>
          <w:numId w:val="20"/>
        </w:numPr>
        <w:spacing w:line="320" w:lineRule="exact"/>
        <w:ind w:left="284" w:hanging="284"/>
        <w:jc w:val="both"/>
        <w:rPr>
          <w:lang w:val="en-NZ"/>
        </w:rPr>
      </w:pPr>
      <w:r w:rsidRPr="00447C2D">
        <w:rPr>
          <w:lang w:val="en-NZ"/>
        </w:rPr>
        <w:t>That the current retirement village ‘boom’ is tailor made to respond to a pre-baby boomer generation that will never occur to the same extent again.  It is questionable whether the retirement village housing model will be</w:t>
      </w:r>
      <w:r w:rsidRPr="000F1412">
        <w:rPr>
          <w:lang w:val="en-NZ"/>
        </w:rPr>
        <w:t xml:space="preserve"> sustainable beyond the baby boomer life phase.  </w:t>
      </w:r>
    </w:p>
    <w:p w:rsidR="00F92C25" w:rsidRPr="00E73A36" w:rsidRDefault="00E73A36" w:rsidP="006C231E">
      <w:pPr>
        <w:pStyle w:val="ListParagraph"/>
        <w:numPr>
          <w:ilvl w:val="0"/>
          <w:numId w:val="20"/>
        </w:numPr>
        <w:spacing w:before="120" w:after="120" w:line="320" w:lineRule="exact"/>
        <w:ind w:left="284" w:hanging="284"/>
        <w:jc w:val="both"/>
        <w:rPr>
          <w:rFonts w:ascii="Arial" w:hAnsi="Arial" w:cs="Arial"/>
        </w:rPr>
      </w:pPr>
      <w:r>
        <w:rPr>
          <w:rFonts w:ascii="Arial" w:hAnsi="Arial" w:cs="Arial"/>
        </w:rPr>
        <w:t>That</w:t>
      </w:r>
      <w:r w:rsidR="00F92C25" w:rsidRPr="00E73A36">
        <w:t xml:space="preserve"> </w:t>
      </w:r>
      <w:r w:rsidR="004C0940" w:rsidRPr="00E73A36">
        <w:rPr>
          <w:rFonts w:ascii="Arial" w:hAnsi="Arial" w:cs="Arial"/>
        </w:rPr>
        <w:t>with</w:t>
      </w:r>
      <w:r w:rsidR="00B035F2" w:rsidRPr="00E73A36">
        <w:rPr>
          <w:rFonts w:ascii="Arial" w:hAnsi="Arial" w:cs="Arial"/>
        </w:rPr>
        <w:t xml:space="preserve"> a proactive approach to improved</w:t>
      </w:r>
      <w:r w:rsidR="004C0940" w:rsidRPr="00E73A36">
        <w:rPr>
          <w:rFonts w:ascii="Arial" w:hAnsi="Arial" w:cs="Arial"/>
        </w:rPr>
        <w:t xml:space="preserve"> housing,</w:t>
      </w:r>
      <w:r w:rsidR="00F92C25" w:rsidRPr="00E73A36">
        <w:rPr>
          <w:rFonts w:ascii="Arial" w:hAnsi="Arial" w:cs="Arial"/>
        </w:rPr>
        <w:t xml:space="preserve"> neighbourhood design and settlement connection </w:t>
      </w:r>
      <w:r w:rsidR="004C0940" w:rsidRPr="00E73A36">
        <w:rPr>
          <w:rFonts w:ascii="Arial" w:hAnsi="Arial" w:cs="Arial"/>
        </w:rPr>
        <w:t>where</w:t>
      </w:r>
      <w:r w:rsidR="00F92C25" w:rsidRPr="00E73A36">
        <w:rPr>
          <w:rFonts w:ascii="Arial" w:hAnsi="Arial" w:cs="Arial"/>
        </w:rPr>
        <w:t xml:space="preserve"> the social and health supports for older people are integrated then the sub-region will experience:</w:t>
      </w:r>
    </w:p>
    <w:p w:rsidR="00E73A36" w:rsidRDefault="004C0940" w:rsidP="006C231E">
      <w:pPr>
        <w:pStyle w:val="BodyText"/>
        <w:numPr>
          <w:ilvl w:val="0"/>
          <w:numId w:val="21"/>
        </w:numPr>
        <w:spacing w:line="320" w:lineRule="exact"/>
        <w:jc w:val="both"/>
        <w:rPr>
          <w:lang w:val="en-NZ"/>
        </w:rPr>
      </w:pPr>
      <w:r>
        <w:rPr>
          <w:lang w:val="en-NZ"/>
        </w:rPr>
        <w:t>Less</w:t>
      </w:r>
      <w:r w:rsidR="00F92C25" w:rsidRPr="00F92C25">
        <w:rPr>
          <w:lang w:val="en-NZ"/>
        </w:rPr>
        <w:t xml:space="preserve"> dependency by older people on the state, community and family/whanau</w:t>
      </w:r>
      <w:r w:rsidR="00AF7833">
        <w:rPr>
          <w:lang w:val="en-NZ"/>
        </w:rPr>
        <w:t>;</w:t>
      </w:r>
    </w:p>
    <w:p w:rsidR="00E73A36" w:rsidRDefault="004C0940" w:rsidP="006C231E">
      <w:pPr>
        <w:pStyle w:val="BodyText"/>
        <w:numPr>
          <w:ilvl w:val="0"/>
          <w:numId w:val="21"/>
        </w:numPr>
        <w:spacing w:line="320" w:lineRule="exact"/>
        <w:jc w:val="both"/>
        <w:rPr>
          <w:lang w:val="en-NZ"/>
        </w:rPr>
      </w:pPr>
      <w:r w:rsidRPr="00E73A36">
        <w:rPr>
          <w:lang w:val="en-NZ"/>
        </w:rPr>
        <w:t>More efficient use of</w:t>
      </w:r>
      <w:r w:rsidR="00F92C25" w:rsidRPr="00E73A36">
        <w:rPr>
          <w:lang w:val="en-NZ"/>
        </w:rPr>
        <w:t xml:space="preserve"> funding streams </w:t>
      </w:r>
      <w:r w:rsidR="00B035F2" w:rsidRPr="00E73A36">
        <w:rPr>
          <w:lang w:val="en-NZ"/>
        </w:rPr>
        <w:t>to support ageing-in-place</w:t>
      </w:r>
      <w:r w:rsidR="00F92C25" w:rsidRPr="00E73A36">
        <w:rPr>
          <w:lang w:val="en-NZ"/>
        </w:rPr>
        <w:t>;</w:t>
      </w:r>
    </w:p>
    <w:p w:rsidR="00E73A36" w:rsidRDefault="004C0940" w:rsidP="006C231E">
      <w:pPr>
        <w:pStyle w:val="BodyText"/>
        <w:numPr>
          <w:ilvl w:val="0"/>
          <w:numId w:val="21"/>
        </w:numPr>
        <w:spacing w:line="320" w:lineRule="exact"/>
        <w:jc w:val="both"/>
        <w:rPr>
          <w:lang w:val="en-NZ"/>
        </w:rPr>
      </w:pPr>
      <w:r w:rsidRPr="00E73A36">
        <w:rPr>
          <w:lang w:val="en-NZ"/>
        </w:rPr>
        <w:t>Better</w:t>
      </w:r>
      <w:r w:rsidR="00F92C25" w:rsidRPr="00E73A36">
        <w:rPr>
          <w:lang w:val="en-NZ"/>
        </w:rPr>
        <w:t xml:space="preserve"> co-ordination between local government, housing, health and social services;</w:t>
      </w:r>
    </w:p>
    <w:p w:rsidR="00E73A36" w:rsidRDefault="00F92C25" w:rsidP="006C231E">
      <w:pPr>
        <w:pStyle w:val="BodyText"/>
        <w:numPr>
          <w:ilvl w:val="0"/>
          <w:numId w:val="21"/>
        </w:numPr>
        <w:spacing w:line="320" w:lineRule="exact"/>
        <w:jc w:val="both"/>
        <w:rPr>
          <w:lang w:val="en-NZ"/>
        </w:rPr>
      </w:pPr>
      <w:r w:rsidRPr="00E73A36">
        <w:rPr>
          <w:lang w:val="en-NZ"/>
        </w:rPr>
        <w:t>Some improvement in housing performance as a result of Building Act amendments earlier in the 21</w:t>
      </w:r>
      <w:r w:rsidRPr="00E73A36">
        <w:rPr>
          <w:vertAlign w:val="superscript"/>
          <w:lang w:val="en-NZ"/>
        </w:rPr>
        <w:t>st</w:t>
      </w:r>
      <w:r w:rsidRPr="00E73A36">
        <w:rPr>
          <w:lang w:val="en-NZ"/>
        </w:rPr>
        <w:t xml:space="preserve"> century, but a realisation that most of the housing stock already in place will still perform relatively poorly;</w:t>
      </w:r>
    </w:p>
    <w:p w:rsidR="00E73A36" w:rsidRDefault="004C0940" w:rsidP="006C231E">
      <w:pPr>
        <w:pStyle w:val="BodyText"/>
        <w:numPr>
          <w:ilvl w:val="0"/>
          <w:numId w:val="21"/>
        </w:numPr>
        <w:spacing w:line="320" w:lineRule="exact"/>
        <w:jc w:val="both"/>
        <w:rPr>
          <w:lang w:val="en-NZ"/>
        </w:rPr>
      </w:pPr>
      <w:r w:rsidRPr="00E73A36">
        <w:rPr>
          <w:lang w:val="en-NZ"/>
        </w:rPr>
        <w:t>Private sector investment in</w:t>
      </w:r>
      <w:r w:rsidR="00F92C25" w:rsidRPr="00E73A36">
        <w:rPr>
          <w:lang w:val="en-NZ"/>
        </w:rPr>
        <w:t xml:space="preserve"> response to the housing needs of older people</w:t>
      </w:r>
      <w:r w:rsidRPr="00E73A36">
        <w:rPr>
          <w:lang w:val="en-NZ"/>
        </w:rPr>
        <w:t xml:space="preserve"> leading to diversity in housing options</w:t>
      </w:r>
      <w:r w:rsidR="00F92C25" w:rsidRPr="00E73A36">
        <w:rPr>
          <w:lang w:val="en-NZ"/>
        </w:rPr>
        <w:t>;</w:t>
      </w:r>
    </w:p>
    <w:p w:rsidR="00E73A36" w:rsidRDefault="004C0940" w:rsidP="006C231E">
      <w:pPr>
        <w:pStyle w:val="BodyText"/>
        <w:numPr>
          <w:ilvl w:val="0"/>
          <w:numId w:val="21"/>
        </w:numPr>
        <w:spacing w:line="320" w:lineRule="exact"/>
        <w:jc w:val="both"/>
        <w:rPr>
          <w:lang w:val="en-NZ"/>
        </w:rPr>
      </w:pPr>
      <w:r w:rsidRPr="00E73A36">
        <w:rPr>
          <w:lang w:val="en-NZ"/>
        </w:rPr>
        <w:t>C</w:t>
      </w:r>
      <w:r w:rsidR="00F92C25" w:rsidRPr="00E73A36">
        <w:rPr>
          <w:lang w:val="en-NZ"/>
        </w:rPr>
        <w:t>hoice regarding secure financial instruments that allow people to free up equity in their home to use for support services to enable ageing-in-place;</w:t>
      </w:r>
    </w:p>
    <w:p w:rsidR="00E73A36" w:rsidRDefault="004C0940" w:rsidP="006C231E">
      <w:pPr>
        <w:pStyle w:val="BodyText"/>
        <w:numPr>
          <w:ilvl w:val="0"/>
          <w:numId w:val="21"/>
        </w:numPr>
        <w:spacing w:line="320" w:lineRule="exact"/>
        <w:jc w:val="both"/>
        <w:rPr>
          <w:lang w:val="en-NZ"/>
        </w:rPr>
      </w:pPr>
      <w:r w:rsidRPr="00E73A36">
        <w:rPr>
          <w:lang w:val="en-NZ"/>
        </w:rPr>
        <w:t>More</w:t>
      </w:r>
      <w:r w:rsidR="00F92C25" w:rsidRPr="00E73A36">
        <w:rPr>
          <w:lang w:val="en-NZ"/>
        </w:rPr>
        <w:t xml:space="preserve"> understanding </w:t>
      </w:r>
      <w:r w:rsidRPr="00E73A36">
        <w:rPr>
          <w:lang w:val="en-NZ"/>
        </w:rPr>
        <w:t>of</w:t>
      </w:r>
      <w:r w:rsidR="00F92C25" w:rsidRPr="00E73A36">
        <w:rPr>
          <w:lang w:val="en-NZ"/>
        </w:rPr>
        <w:t xml:space="preserve"> the cost</w:t>
      </w:r>
      <w:r w:rsidRPr="00E73A36">
        <w:rPr>
          <w:lang w:val="en-NZ"/>
        </w:rPr>
        <w:t xml:space="preserve"> and implications</w:t>
      </w:r>
      <w:r w:rsidR="00F92C25" w:rsidRPr="00E73A36">
        <w:rPr>
          <w:lang w:val="en-NZ"/>
        </w:rPr>
        <w:t xml:space="preserve"> of entry to and exit from retirement villages</w:t>
      </w:r>
      <w:r w:rsidRPr="00E73A36">
        <w:rPr>
          <w:lang w:val="en-NZ"/>
        </w:rPr>
        <w:t>;</w:t>
      </w:r>
    </w:p>
    <w:p w:rsidR="00E73A36" w:rsidRDefault="004C0940" w:rsidP="006C231E">
      <w:pPr>
        <w:pStyle w:val="BodyText"/>
        <w:numPr>
          <w:ilvl w:val="0"/>
          <w:numId w:val="21"/>
        </w:numPr>
        <w:spacing w:line="320" w:lineRule="exact"/>
        <w:jc w:val="both"/>
        <w:rPr>
          <w:lang w:val="en-NZ"/>
        </w:rPr>
      </w:pPr>
      <w:r w:rsidRPr="00E73A36">
        <w:rPr>
          <w:lang w:val="en-NZ"/>
        </w:rPr>
        <w:t>More</w:t>
      </w:r>
      <w:r w:rsidR="00F92C25" w:rsidRPr="00E73A36">
        <w:rPr>
          <w:lang w:val="en-NZ"/>
        </w:rPr>
        <w:t xml:space="preserve"> security of tenure in the rental market with </w:t>
      </w:r>
      <w:r w:rsidR="00E73A36">
        <w:rPr>
          <w:lang w:val="en-NZ"/>
        </w:rPr>
        <w:t>less</w:t>
      </w:r>
      <w:r w:rsidR="00F92C25" w:rsidRPr="00E73A36">
        <w:rPr>
          <w:lang w:val="en-NZ"/>
        </w:rPr>
        <w:t xml:space="preserve"> churn of dwellings between the rental and owner occupied market;</w:t>
      </w:r>
    </w:p>
    <w:p w:rsidR="00E73A36" w:rsidRDefault="004C0940" w:rsidP="006C231E">
      <w:pPr>
        <w:pStyle w:val="BodyText"/>
        <w:numPr>
          <w:ilvl w:val="0"/>
          <w:numId w:val="21"/>
        </w:numPr>
        <w:spacing w:line="320" w:lineRule="exact"/>
        <w:jc w:val="both"/>
        <w:rPr>
          <w:lang w:val="en-NZ"/>
        </w:rPr>
      </w:pPr>
      <w:r w:rsidRPr="00E73A36">
        <w:rPr>
          <w:lang w:val="en-NZ"/>
        </w:rPr>
        <w:t>Better health outcomes from improved</w:t>
      </w:r>
      <w:r w:rsidR="00F92C25" w:rsidRPr="00E73A36">
        <w:rPr>
          <w:lang w:val="en-NZ"/>
        </w:rPr>
        <w:t xml:space="preserve"> thermal performance of housing stock pa</w:t>
      </w:r>
      <w:r w:rsidRPr="00E73A36">
        <w:rPr>
          <w:lang w:val="en-NZ"/>
        </w:rPr>
        <w:t>rticularly in the rental market;</w:t>
      </w:r>
    </w:p>
    <w:p w:rsidR="00E73A36" w:rsidRDefault="004C0940" w:rsidP="006C231E">
      <w:pPr>
        <w:pStyle w:val="BodyText"/>
        <w:numPr>
          <w:ilvl w:val="0"/>
          <w:numId w:val="21"/>
        </w:numPr>
        <w:spacing w:line="320" w:lineRule="exact"/>
        <w:jc w:val="both"/>
        <w:rPr>
          <w:lang w:val="en-NZ"/>
        </w:rPr>
      </w:pPr>
      <w:r w:rsidRPr="00E73A36">
        <w:rPr>
          <w:lang w:val="en-NZ"/>
        </w:rPr>
        <w:t>More multi-generational settlement in neighbourhoods;</w:t>
      </w:r>
    </w:p>
    <w:p w:rsidR="00816B18" w:rsidRDefault="004C0940" w:rsidP="006C231E">
      <w:pPr>
        <w:pStyle w:val="BodyText"/>
        <w:numPr>
          <w:ilvl w:val="0"/>
          <w:numId w:val="21"/>
        </w:numPr>
        <w:spacing w:line="320" w:lineRule="exact"/>
        <w:jc w:val="both"/>
        <w:rPr>
          <w:lang w:val="en-NZ"/>
        </w:rPr>
      </w:pPr>
      <w:r w:rsidRPr="00E73A36">
        <w:rPr>
          <w:lang w:val="en-NZ"/>
        </w:rPr>
        <w:t>Reduced reliance on private cars for connectivity in n</w:t>
      </w:r>
      <w:r w:rsidR="00F92C25" w:rsidRPr="00E73A36">
        <w:rPr>
          <w:lang w:val="en-NZ"/>
        </w:rPr>
        <w:t>ew and existing neighbourhoods.</w:t>
      </w:r>
    </w:p>
    <w:p w:rsidR="00BC46AA" w:rsidRDefault="00BC46AA" w:rsidP="00E94D5E"/>
    <w:p w:rsidR="00BC46AA" w:rsidRPr="00BC46AA" w:rsidRDefault="006E222F" w:rsidP="00DA6C2F">
      <w:pPr>
        <w:pStyle w:val="Heading1"/>
      </w:pPr>
      <w:bookmarkStart w:id="6" w:name="_Toc340245218"/>
      <w:r>
        <w:t xml:space="preserve">SUMMARY OF </w:t>
      </w:r>
      <w:r w:rsidR="00461E49">
        <w:t>ACTIONS FOR THE UPDATED SMARTGROWTH STRATEGY</w:t>
      </w:r>
      <w:bookmarkEnd w:id="6"/>
    </w:p>
    <w:p w:rsidR="00E73A36" w:rsidRDefault="00E73A36" w:rsidP="00BA19A6">
      <w:pPr>
        <w:pStyle w:val="Heading2"/>
        <w:spacing w:before="120" w:after="120" w:line="320" w:lineRule="exact"/>
        <w:ind w:left="709" w:hanging="709"/>
        <w:rPr>
          <w:u w:val="none"/>
        </w:rPr>
      </w:pPr>
      <w:bookmarkStart w:id="7" w:name="_Toc340245219"/>
      <w:r w:rsidRPr="00BA19A6">
        <w:rPr>
          <w:u w:val="none"/>
        </w:rPr>
        <w:t>Collaboration, integration and governance</w:t>
      </w:r>
      <w:bookmarkEnd w:id="7"/>
    </w:p>
    <w:tbl>
      <w:tblPr>
        <w:tblStyle w:val="TableGrid"/>
        <w:tblW w:w="9158" w:type="dxa"/>
        <w:tblInd w:w="108" w:type="dxa"/>
        <w:tblLook w:val="04A0" w:firstRow="1" w:lastRow="0" w:firstColumn="1" w:lastColumn="0" w:noHBand="0" w:noVBand="1"/>
      </w:tblPr>
      <w:tblGrid>
        <w:gridCol w:w="3500"/>
        <w:gridCol w:w="1512"/>
        <w:gridCol w:w="1292"/>
        <w:gridCol w:w="1342"/>
        <w:gridCol w:w="1512"/>
      </w:tblGrid>
      <w:tr w:rsidR="00BA19A6" w:rsidRPr="00D2329C" w:rsidTr="00D2329C">
        <w:tc>
          <w:tcPr>
            <w:tcW w:w="3500" w:type="dxa"/>
            <w:shd w:val="clear" w:color="auto" w:fill="D9D9D9" w:themeFill="background1" w:themeFillShade="D9"/>
          </w:tcPr>
          <w:p w:rsidR="00BA19A6" w:rsidRPr="00D2329C" w:rsidRDefault="00BA19A6" w:rsidP="00BA19A6">
            <w:pPr>
              <w:pStyle w:val="BodyText"/>
              <w:ind w:left="0"/>
              <w:rPr>
                <w:b/>
                <w:lang w:val="en-NZ"/>
              </w:rPr>
            </w:pPr>
            <w:r w:rsidRPr="00D2329C">
              <w:rPr>
                <w:b/>
                <w:lang w:val="en-NZ"/>
              </w:rPr>
              <w:t>Action</w:t>
            </w:r>
          </w:p>
        </w:tc>
        <w:tc>
          <w:tcPr>
            <w:tcW w:w="1512" w:type="dxa"/>
            <w:shd w:val="clear" w:color="auto" w:fill="D9D9D9" w:themeFill="background1" w:themeFillShade="D9"/>
          </w:tcPr>
          <w:p w:rsidR="00BA19A6" w:rsidRPr="00D2329C" w:rsidRDefault="00BA19A6" w:rsidP="00BA19A6">
            <w:pPr>
              <w:pStyle w:val="BodyText"/>
              <w:ind w:left="0"/>
              <w:rPr>
                <w:b/>
                <w:lang w:val="en-NZ"/>
              </w:rPr>
            </w:pPr>
            <w:r w:rsidRPr="00D2329C">
              <w:rPr>
                <w:b/>
                <w:lang w:val="en-NZ"/>
              </w:rPr>
              <w:t>Lead Agency</w:t>
            </w:r>
          </w:p>
        </w:tc>
        <w:tc>
          <w:tcPr>
            <w:tcW w:w="1292" w:type="dxa"/>
            <w:shd w:val="clear" w:color="auto" w:fill="D9D9D9" w:themeFill="background1" w:themeFillShade="D9"/>
          </w:tcPr>
          <w:p w:rsidR="00BA19A6" w:rsidRPr="00D2329C" w:rsidRDefault="00BA19A6" w:rsidP="00BA19A6">
            <w:pPr>
              <w:pStyle w:val="BodyText"/>
              <w:ind w:left="0"/>
              <w:rPr>
                <w:b/>
                <w:lang w:val="en-NZ"/>
              </w:rPr>
            </w:pPr>
            <w:r w:rsidRPr="00D2329C">
              <w:rPr>
                <w:b/>
                <w:lang w:val="en-NZ"/>
              </w:rPr>
              <w:t>Time</w:t>
            </w:r>
          </w:p>
        </w:tc>
        <w:tc>
          <w:tcPr>
            <w:tcW w:w="1342" w:type="dxa"/>
            <w:shd w:val="clear" w:color="auto" w:fill="D9D9D9" w:themeFill="background1" w:themeFillShade="D9"/>
          </w:tcPr>
          <w:p w:rsidR="00BA19A6" w:rsidRPr="00D2329C" w:rsidRDefault="00BA19A6" w:rsidP="00BA19A6">
            <w:pPr>
              <w:pStyle w:val="BodyText"/>
              <w:ind w:left="0"/>
              <w:rPr>
                <w:b/>
                <w:lang w:val="en-NZ"/>
              </w:rPr>
            </w:pPr>
            <w:r w:rsidRPr="00D2329C">
              <w:rPr>
                <w:b/>
                <w:lang w:val="en-NZ"/>
              </w:rPr>
              <w:t xml:space="preserve">Funding </w:t>
            </w:r>
          </w:p>
        </w:tc>
        <w:tc>
          <w:tcPr>
            <w:tcW w:w="1512" w:type="dxa"/>
            <w:shd w:val="clear" w:color="auto" w:fill="D9D9D9" w:themeFill="background1" w:themeFillShade="D9"/>
          </w:tcPr>
          <w:p w:rsidR="00BA19A6" w:rsidRPr="00D2329C" w:rsidRDefault="00BA19A6" w:rsidP="00BA19A6">
            <w:pPr>
              <w:pStyle w:val="BodyText"/>
              <w:ind w:left="0"/>
              <w:rPr>
                <w:b/>
                <w:lang w:val="en-NZ"/>
              </w:rPr>
            </w:pPr>
            <w:r w:rsidRPr="00D2329C">
              <w:rPr>
                <w:b/>
                <w:lang w:val="en-NZ"/>
              </w:rPr>
              <w:t>Measure of Success</w:t>
            </w:r>
          </w:p>
        </w:tc>
      </w:tr>
      <w:tr w:rsidR="00BA19A6" w:rsidTr="00D2329C">
        <w:trPr>
          <w:trHeight w:val="2731"/>
        </w:trPr>
        <w:tc>
          <w:tcPr>
            <w:tcW w:w="3500" w:type="dxa"/>
          </w:tcPr>
          <w:p w:rsidR="00BA19A6" w:rsidRPr="00CA754A" w:rsidRDefault="00BA19A6" w:rsidP="006E222F">
            <w:pPr>
              <w:pStyle w:val="Heading3"/>
              <w:numPr>
                <w:ilvl w:val="0"/>
                <w:numId w:val="0"/>
              </w:numPr>
              <w:spacing w:before="120" w:after="120" w:line="320" w:lineRule="exact"/>
              <w:jc w:val="both"/>
            </w:pPr>
            <w:r>
              <w:t>That SmartGrowth invite the Bay of Plenty District Health Board to become a governance partner in acknowledgement of its role as a significant investor in the wellbeing of sub-regional communities.</w:t>
            </w:r>
          </w:p>
        </w:tc>
        <w:tc>
          <w:tcPr>
            <w:tcW w:w="5658" w:type="dxa"/>
            <w:gridSpan w:val="4"/>
          </w:tcPr>
          <w:p w:rsidR="00BA19A6" w:rsidRPr="00D2329C" w:rsidRDefault="00BA19A6" w:rsidP="00BA19A6">
            <w:pPr>
              <w:pStyle w:val="BodyText"/>
              <w:ind w:left="0"/>
              <w:rPr>
                <w:i/>
                <w:lang w:val="en-NZ"/>
              </w:rPr>
            </w:pPr>
            <w:r w:rsidRPr="00D2329C">
              <w:rPr>
                <w:i/>
                <w:lang w:val="en-NZ"/>
              </w:rPr>
              <w:t>Note:  This action will be captured as part of the SmartGrowth governance review</w:t>
            </w:r>
          </w:p>
        </w:tc>
      </w:tr>
      <w:tr w:rsidR="00BA19A6" w:rsidTr="00D2329C">
        <w:tc>
          <w:tcPr>
            <w:tcW w:w="3500" w:type="dxa"/>
          </w:tcPr>
          <w:p w:rsidR="00CA754A" w:rsidRDefault="00CA754A" w:rsidP="006E222F">
            <w:pPr>
              <w:pStyle w:val="Heading3"/>
              <w:numPr>
                <w:ilvl w:val="0"/>
                <w:numId w:val="0"/>
              </w:numPr>
              <w:spacing w:before="120" w:after="120" w:line="320" w:lineRule="exact"/>
              <w:ind w:left="34" w:hanging="34"/>
              <w:jc w:val="both"/>
            </w:pPr>
            <w:r>
              <w:t>That SmartGrowth ensure routine inclusion of demographic change analysis (e.g. population ageing impact) and consideration for the needs of older people (age friendly assessments) in all development, policies and programmes (including civil defence plans and climate change responses).</w:t>
            </w:r>
          </w:p>
          <w:p w:rsidR="00BA19A6" w:rsidRDefault="00BA19A6" w:rsidP="00CA754A">
            <w:pPr>
              <w:pStyle w:val="Heading3"/>
              <w:numPr>
                <w:ilvl w:val="0"/>
                <w:numId w:val="0"/>
              </w:numPr>
              <w:spacing w:before="120" w:after="120" w:line="320" w:lineRule="exact"/>
              <w:ind w:left="318"/>
              <w:jc w:val="both"/>
            </w:pPr>
          </w:p>
        </w:tc>
        <w:tc>
          <w:tcPr>
            <w:tcW w:w="1512" w:type="dxa"/>
          </w:tcPr>
          <w:p w:rsidR="00BA19A6" w:rsidRDefault="00CA754A" w:rsidP="00CA754A">
            <w:pPr>
              <w:pStyle w:val="BodyText"/>
              <w:spacing w:line="320" w:lineRule="exact"/>
              <w:ind w:left="0"/>
              <w:rPr>
                <w:lang w:val="en-NZ"/>
              </w:rPr>
            </w:pPr>
            <w:r>
              <w:rPr>
                <w:lang w:val="en-NZ"/>
              </w:rPr>
              <w:t>SmartGrowth</w:t>
            </w:r>
          </w:p>
          <w:p w:rsidR="00CA754A" w:rsidRDefault="00CA754A" w:rsidP="00CA754A">
            <w:pPr>
              <w:pStyle w:val="BodyText"/>
              <w:spacing w:line="320" w:lineRule="exact"/>
              <w:ind w:left="0"/>
              <w:rPr>
                <w:lang w:val="en-NZ"/>
              </w:rPr>
            </w:pPr>
            <w:r>
              <w:rPr>
                <w:lang w:val="en-NZ"/>
              </w:rPr>
              <w:t>TCC</w:t>
            </w:r>
          </w:p>
          <w:p w:rsidR="00CA754A" w:rsidRDefault="00CA754A" w:rsidP="00CA754A">
            <w:pPr>
              <w:pStyle w:val="BodyText"/>
              <w:spacing w:line="320" w:lineRule="exact"/>
              <w:ind w:left="0"/>
              <w:rPr>
                <w:lang w:val="en-NZ"/>
              </w:rPr>
            </w:pPr>
            <w:r>
              <w:rPr>
                <w:lang w:val="en-NZ"/>
              </w:rPr>
              <w:t>WBOPDC</w:t>
            </w:r>
          </w:p>
          <w:p w:rsidR="00CA754A" w:rsidRDefault="00CA754A" w:rsidP="00CA754A">
            <w:pPr>
              <w:pStyle w:val="BodyText"/>
              <w:spacing w:line="320" w:lineRule="exact"/>
              <w:ind w:left="0"/>
              <w:rPr>
                <w:lang w:val="en-NZ"/>
              </w:rPr>
            </w:pPr>
            <w:r>
              <w:rPr>
                <w:lang w:val="en-NZ"/>
              </w:rPr>
              <w:t>NZTA</w:t>
            </w:r>
          </w:p>
        </w:tc>
        <w:tc>
          <w:tcPr>
            <w:tcW w:w="1292" w:type="dxa"/>
          </w:tcPr>
          <w:p w:rsidR="00BA19A6" w:rsidRDefault="00CA754A" w:rsidP="00CA754A">
            <w:pPr>
              <w:pStyle w:val="BodyText"/>
              <w:spacing w:line="320" w:lineRule="exact"/>
              <w:ind w:left="0"/>
              <w:rPr>
                <w:lang w:val="en-NZ"/>
              </w:rPr>
            </w:pPr>
            <w:r>
              <w:rPr>
                <w:lang w:val="en-NZ"/>
              </w:rPr>
              <w:t>Short</w:t>
            </w:r>
          </w:p>
        </w:tc>
        <w:tc>
          <w:tcPr>
            <w:tcW w:w="1342" w:type="dxa"/>
          </w:tcPr>
          <w:p w:rsidR="00BA19A6" w:rsidRDefault="00CA754A" w:rsidP="00CA754A">
            <w:pPr>
              <w:pStyle w:val="BodyText"/>
              <w:spacing w:line="320" w:lineRule="exact"/>
              <w:ind w:left="0"/>
              <w:rPr>
                <w:lang w:val="en-NZ"/>
              </w:rPr>
            </w:pPr>
            <w:r>
              <w:rPr>
                <w:lang w:val="en-NZ"/>
              </w:rPr>
              <w:t>Partner &amp; resources</w:t>
            </w:r>
          </w:p>
        </w:tc>
        <w:tc>
          <w:tcPr>
            <w:tcW w:w="1512" w:type="dxa"/>
          </w:tcPr>
          <w:p w:rsidR="00BA19A6" w:rsidRDefault="00CA754A" w:rsidP="00CA754A">
            <w:pPr>
              <w:pStyle w:val="BodyText"/>
              <w:spacing w:line="320" w:lineRule="exact"/>
              <w:ind w:left="0"/>
              <w:rPr>
                <w:lang w:val="en-NZ"/>
              </w:rPr>
            </w:pPr>
            <w:r>
              <w:rPr>
                <w:lang w:val="en-NZ"/>
              </w:rPr>
              <w:t>Evidenc</w:t>
            </w:r>
            <w:r w:rsidR="000321BB">
              <w:rPr>
                <w:lang w:val="en-NZ"/>
              </w:rPr>
              <w:t>e of demographic change analyses</w:t>
            </w:r>
            <w:r>
              <w:rPr>
                <w:lang w:val="en-NZ"/>
              </w:rPr>
              <w:t xml:space="preserve"> can be produced</w:t>
            </w:r>
          </w:p>
        </w:tc>
      </w:tr>
    </w:tbl>
    <w:p w:rsidR="006E222F" w:rsidRDefault="006E222F" w:rsidP="006E222F">
      <w:pPr>
        <w:pStyle w:val="Heading2"/>
        <w:numPr>
          <w:ilvl w:val="0"/>
          <w:numId w:val="0"/>
        </w:numPr>
        <w:spacing w:before="120" w:after="120" w:line="320" w:lineRule="exact"/>
        <w:ind w:left="709"/>
        <w:rPr>
          <w:u w:val="none"/>
        </w:rPr>
      </w:pPr>
    </w:p>
    <w:p w:rsidR="00CA754A" w:rsidRDefault="000701C1" w:rsidP="00CA754A">
      <w:pPr>
        <w:pStyle w:val="Heading2"/>
        <w:spacing w:before="120" w:after="120" w:line="320" w:lineRule="exact"/>
        <w:ind w:left="709" w:hanging="709"/>
        <w:rPr>
          <w:u w:val="none"/>
        </w:rPr>
      </w:pPr>
      <w:bookmarkStart w:id="8" w:name="_Toc340245220"/>
      <w:r w:rsidRPr="00DA7967">
        <w:rPr>
          <w:u w:val="none"/>
        </w:rPr>
        <w:t>Economy/employment</w:t>
      </w:r>
      <w:bookmarkEnd w:id="8"/>
    </w:p>
    <w:tbl>
      <w:tblPr>
        <w:tblStyle w:val="TableGrid"/>
        <w:tblW w:w="9214" w:type="dxa"/>
        <w:tblInd w:w="108" w:type="dxa"/>
        <w:tblLayout w:type="fixed"/>
        <w:tblLook w:val="04A0" w:firstRow="1" w:lastRow="0" w:firstColumn="1" w:lastColumn="0" w:noHBand="0" w:noVBand="1"/>
      </w:tblPr>
      <w:tblGrid>
        <w:gridCol w:w="3544"/>
        <w:gridCol w:w="1418"/>
        <w:gridCol w:w="1417"/>
        <w:gridCol w:w="1276"/>
        <w:gridCol w:w="1559"/>
      </w:tblGrid>
      <w:tr w:rsidR="00CA754A" w:rsidRPr="00D2329C" w:rsidTr="006E222F">
        <w:tc>
          <w:tcPr>
            <w:tcW w:w="3544" w:type="dxa"/>
            <w:shd w:val="clear" w:color="auto" w:fill="D9D9D9" w:themeFill="background1" w:themeFillShade="D9"/>
          </w:tcPr>
          <w:p w:rsidR="00CA754A" w:rsidRPr="00D2329C" w:rsidRDefault="00CA754A" w:rsidP="00CA754A">
            <w:pPr>
              <w:pStyle w:val="BodyText"/>
              <w:ind w:left="0"/>
              <w:rPr>
                <w:b/>
                <w:lang w:val="en-NZ"/>
              </w:rPr>
            </w:pPr>
            <w:r w:rsidRPr="00D2329C">
              <w:rPr>
                <w:b/>
                <w:lang w:val="en-NZ"/>
              </w:rPr>
              <w:t>Action</w:t>
            </w:r>
          </w:p>
        </w:tc>
        <w:tc>
          <w:tcPr>
            <w:tcW w:w="1418" w:type="dxa"/>
            <w:shd w:val="clear" w:color="auto" w:fill="D9D9D9" w:themeFill="background1" w:themeFillShade="D9"/>
          </w:tcPr>
          <w:p w:rsidR="00CA754A" w:rsidRPr="00D2329C" w:rsidRDefault="00CA754A" w:rsidP="00CA754A">
            <w:pPr>
              <w:pStyle w:val="BodyText"/>
              <w:ind w:left="0"/>
              <w:rPr>
                <w:b/>
                <w:lang w:val="en-NZ"/>
              </w:rPr>
            </w:pPr>
            <w:r w:rsidRPr="00D2329C">
              <w:rPr>
                <w:b/>
                <w:lang w:val="en-NZ"/>
              </w:rPr>
              <w:t>Lead Agency</w:t>
            </w:r>
          </w:p>
        </w:tc>
        <w:tc>
          <w:tcPr>
            <w:tcW w:w="1417" w:type="dxa"/>
            <w:shd w:val="clear" w:color="auto" w:fill="D9D9D9" w:themeFill="background1" w:themeFillShade="D9"/>
          </w:tcPr>
          <w:p w:rsidR="00CA754A" w:rsidRPr="00D2329C" w:rsidRDefault="00CA754A" w:rsidP="00CA754A">
            <w:pPr>
              <w:pStyle w:val="BodyText"/>
              <w:ind w:left="0"/>
              <w:rPr>
                <w:b/>
                <w:lang w:val="en-NZ"/>
              </w:rPr>
            </w:pPr>
            <w:r w:rsidRPr="00D2329C">
              <w:rPr>
                <w:b/>
                <w:lang w:val="en-NZ"/>
              </w:rPr>
              <w:t>Time</w:t>
            </w:r>
          </w:p>
        </w:tc>
        <w:tc>
          <w:tcPr>
            <w:tcW w:w="1276" w:type="dxa"/>
            <w:shd w:val="clear" w:color="auto" w:fill="D9D9D9" w:themeFill="background1" w:themeFillShade="D9"/>
          </w:tcPr>
          <w:p w:rsidR="00CA754A" w:rsidRPr="00D2329C" w:rsidRDefault="00CA754A" w:rsidP="00CA754A">
            <w:pPr>
              <w:pStyle w:val="BodyText"/>
              <w:ind w:left="0"/>
              <w:rPr>
                <w:b/>
                <w:lang w:val="en-NZ"/>
              </w:rPr>
            </w:pPr>
            <w:r w:rsidRPr="00D2329C">
              <w:rPr>
                <w:b/>
                <w:lang w:val="en-NZ"/>
              </w:rPr>
              <w:t xml:space="preserve">Funding </w:t>
            </w:r>
          </w:p>
        </w:tc>
        <w:tc>
          <w:tcPr>
            <w:tcW w:w="1559" w:type="dxa"/>
            <w:shd w:val="clear" w:color="auto" w:fill="D9D9D9" w:themeFill="background1" w:themeFillShade="D9"/>
          </w:tcPr>
          <w:p w:rsidR="00CA754A" w:rsidRPr="00D2329C" w:rsidRDefault="00CA754A" w:rsidP="00CA754A">
            <w:pPr>
              <w:pStyle w:val="BodyText"/>
              <w:ind w:left="0"/>
              <w:rPr>
                <w:b/>
                <w:lang w:val="en-NZ"/>
              </w:rPr>
            </w:pPr>
            <w:r w:rsidRPr="00D2329C">
              <w:rPr>
                <w:b/>
                <w:lang w:val="en-NZ"/>
              </w:rPr>
              <w:t>Measure of Success</w:t>
            </w:r>
          </w:p>
        </w:tc>
      </w:tr>
      <w:tr w:rsidR="00CA754A" w:rsidTr="006E222F">
        <w:trPr>
          <w:trHeight w:val="2731"/>
        </w:trPr>
        <w:tc>
          <w:tcPr>
            <w:tcW w:w="3544" w:type="dxa"/>
          </w:tcPr>
          <w:p w:rsidR="00CA754A" w:rsidRPr="006923EA" w:rsidRDefault="00CA754A" w:rsidP="006E222F">
            <w:pPr>
              <w:pStyle w:val="Heading3"/>
              <w:numPr>
                <w:ilvl w:val="0"/>
                <w:numId w:val="0"/>
              </w:numPr>
              <w:spacing w:before="120" w:after="120" w:line="320" w:lineRule="exact"/>
              <w:jc w:val="both"/>
            </w:pPr>
            <w:r>
              <w:t>That the revised SmartGrowth Plan includes as an action the progression of a sub-regional economic development strategy that i</w:t>
            </w:r>
            <w:r w:rsidRPr="00CA754A">
              <w:t>dentifies</w:t>
            </w:r>
            <w:r>
              <w:t xml:space="preserve"> key economic </w:t>
            </w:r>
            <w:r w:rsidRPr="00CA754A">
              <w:t xml:space="preserve">development opportunities as a result </w:t>
            </w:r>
            <w:r w:rsidR="006E222F">
              <w:t>of population ageing and analysis of</w:t>
            </w:r>
            <w:r w:rsidRPr="00CA754A">
              <w:t xml:space="preserve"> the implications for the work force;</w:t>
            </w:r>
          </w:p>
        </w:tc>
        <w:tc>
          <w:tcPr>
            <w:tcW w:w="1418" w:type="dxa"/>
          </w:tcPr>
          <w:p w:rsidR="00D2329C" w:rsidRDefault="000321BB" w:rsidP="00CA754A">
            <w:pPr>
              <w:pStyle w:val="BodyText"/>
              <w:ind w:left="0"/>
              <w:rPr>
                <w:lang w:val="en-NZ"/>
              </w:rPr>
            </w:pPr>
            <w:r>
              <w:rPr>
                <w:lang w:val="en-NZ"/>
              </w:rPr>
              <w:t>Smart</w:t>
            </w:r>
          </w:p>
          <w:p w:rsidR="00CA754A" w:rsidRDefault="000321BB" w:rsidP="00CA754A">
            <w:pPr>
              <w:pStyle w:val="BodyText"/>
              <w:ind w:left="0"/>
              <w:rPr>
                <w:lang w:val="en-NZ"/>
              </w:rPr>
            </w:pPr>
            <w:r>
              <w:rPr>
                <w:lang w:val="en-NZ"/>
              </w:rPr>
              <w:t>Growth</w:t>
            </w:r>
          </w:p>
        </w:tc>
        <w:tc>
          <w:tcPr>
            <w:tcW w:w="1417" w:type="dxa"/>
          </w:tcPr>
          <w:p w:rsidR="00CA754A" w:rsidRDefault="000321BB" w:rsidP="00CA754A">
            <w:pPr>
              <w:pStyle w:val="BodyText"/>
              <w:ind w:left="0"/>
              <w:rPr>
                <w:lang w:val="en-NZ"/>
              </w:rPr>
            </w:pPr>
            <w:r>
              <w:rPr>
                <w:lang w:val="en-NZ"/>
              </w:rPr>
              <w:t>Medium</w:t>
            </w:r>
          </w:p>
        </w:tc>
        <w:tc>
          <w:tcPr>
            <w:tcW w:w="1276" w:type="dxa"/>
          </w:tcPr>
          <w:p w:rsidR="00CA754A" w:rsidRDefault="000321BB" w:rsidP="00CA754A">
            <w:pPr>
              <w:pStyle w:val="BodyText"/>
              <w:ind w:left="0"/>
              <w:rPr>
                <w:lang w:val="en-NZ"/>
              </w:rPr>
            </w:pPr>
            <w:r>
              <w:rPr>
                <w:lang w:val="en-NZ"/>
              </w:rPr>
              <w:t>Priority 1</w:t>
            </w:r>
          </w:p>
        </w:tc>
        <w:tc>
          <w:tcPr>
            <w:tcW w:w="1559" w:type="dxa"/>
          </w:tcPr>
          <w:p w:rsidR="00CA754A" w:rsidRDefault="000321BB" w:rsidP="00CA754A">
            <w:pPr>
              <w:pStyle w:val="BodyText"/>
              <w:ind w:left="0"/>
              <w:rPr>
                <w:lang w:val="en-NZ"/>
              </w:rPr>
            </w:pPr>
            <w:r>
              <w:rPr>
                <w:lang w:val="en-NZ"/>
              </w:rPr>
              <w:t>Strategy developed</w:t>
            </w:r>
          </w:p>
        </w:tc>
      </w:tr>
      <w:tr w:rsidR="00CA754A" w:rsidTr="006E222F">
        <w:tc>
          <w:tcPr>
            <w:tcW w:w="3544" w:type="dxa"/>
          </w:tcPr>
          <w:p w:rsidR="00CA754A" w:rsidRDefault="00CA754A" w:rsidP="00CA754A">
            <w:pPr>
              <w:pStyle w:val="Heading3"/>
              <w:numPr>
                <w:ilvl w:val="0"/>
                <w:numId w:val="0"/>
              </w:numPr>
              <w:spacing w:before="120" w:after="120" w:line="320" w:lineRule="exact"/>
              <w:jc w:val="both"/>
            </w:pPr>
            <w:r>
              <w:t>That SmartGrowth and the Tertiary Education Partnership:</w:t>
            </w:r>
          </w:p>
          <w:p w:rsidR="00CA754A" w:rsidRDefault="00CA754A" w:rsidP="006E222F">
            <w:pPr>
              <w:pStyle w:val="ListParagraph"/>
              <w:numPr>
                <w:ilvl w:val="0"/>
                <w:numId w:val="33"/>
              </w:numPr>
              <w:spacing w:before="120" w:after="120" w:line="320" w:lineRule="exact"/>
              <w:ind w:left="318" w:hanging="284"/>
              <w:jc w:val="both"/>
              <w:rPr>
                <w:rFonts w:ascii="Arial" w:hAnsi="Arial" w:cs="Arial"/>
                <w:lang w:val="en-GB"/>
              </w:rPr>
            </w:pPr>
            <w:r w:rsidRPr="000321BB">
              <w:rPr>
                <w:rFonts w:ascii="Arial" w:hAnsi="Arial" w:cs="Arial"/>
                <w:lang w:val="en-GB"/>
              </w:rPr>
              <w:t>With support from the Bay of Plenty District Health Board establish an ageing centre of excellence to foster health, social and economic innovation that capitalises on the unique ageing demographic of the sub-region including an innovation and research fund;</w:t>
            </w:r>
          </w:p>
          <w:p w:rsidR="00D2329C" w:rsidRPr="000321BB" w:rsidRDefault="00D2329C" w:rsidP="00D2329C">
            <w:pPr>
              <w:pStyle w:val="ListParagraph"/>
              <w:spacing w:before="120" w:after="120" w:line="320" w:lineRule="exact"/>
              <w:ind w:left="318"/>
              <w:rPr>
                <w:rFonts w:ascii="Arial" w:hAnsi="Arial" w:cs="Arial"/>
                <w:lang w:val="en-GB"/>
              </w:rPr>
            </w:pPr>
          </w:p>
          <w:p w:rsidR="00D2329C" w:rsidRDefault="00CA754A" w:rsidP="00D2329C">
            <w:pPr>
              <w:pStyle w:val="ListParagraph"/>
              <w:numPr>
                <w:ilvl w:val="0"/>
                <w:numId w:val="33"/>
              </w:numPr>
              <w:spacing w:before="120" w:after="120" w:line="320" w:lineRule="exact"/>
              <w:ind w:left="318" w:hanging="284"/>
              <w:rPr>
                <w:rFonts w:ascii="Arial" w:hAnsi="Arial" w:cs="Arial"/>
                <w:lang w:val="en-GB"/>
              </w:rPr>
            </w:pPr>
            <w:r w:rsidRPr="000321BB">
              <w:rPr>
                <w:rFonts w:ascii="Arial" w:hAnsi="Arial" w:cs="Arial"/>
                <w:lang w:val="en-GB"/>
              </w:rPr>
              <w:t>Ensure training and development programmes give consideration to the impact of population ageing on the local economy</w:t>
            </w:r>
          </w:p>
          <w:p w:rsidR="00D2329C" w:rsidRDefault="00D2329C" w:rsidP="00D2329C">
            <w:pPr>
              <w:pStyle w:val="ListParagraph"/>
              <w:spacing w:before="120" w:after="120" w:line="320" w:lineRule="exact"/>
              <w:rPr>
                <w:rFonts w:ascii="Arial" w:hAnsi="Arial" w:cs="Arial"/>
                <w:lang w:val="en-GB"/>
              </w:rPr>
            </w:pPr>
          </w:p>
          <w:p w:rsidR="00D2329C" w:rsidRDefault="00D2329C" w:rsidP="00D2329C">
            <w:pPr>
              <w:pStyle w:val="ListParagraph"/>
              <w:spacing w:before="120" w:after="120" w:line="320" w:lineRule="exact"/>
              <w:rPr>
                <w:rFonts w:ascii="Arial" w:hAnsi="Arial" w:cs="Arial"/>
                <w:lang w:val="en-GB"/>
              </w:rPr>
            </w:pPr>
          </w:p>
          <w:p w:rsidR="00D2329C" w:rsidRDefault="00D2329C" w:rsidP="00D2329C">
            <w:pPr>
              <w:pStyle w:val="ListParagraph"/>
              <w:spacing w:before="120" w:after="120" w:line="320" w:lineRule="exact"/>
              <w:rPr>
                <w:rFonts w:ascii="Arial" w:hAnsi="Arial" w:cs="Arial"/>
                <w:lang w:val="en-GB"/>
              </w:rPr>
            </w:pPr>
          </w:p>
          <w:p w:rsidR="00CA754A" w:rsidRPr="000321BB" w:rsidRDefault="00CA754A" w:rsidP="000321BB">
            <w:pPr>
              <w:pStyle w:val="ListParagraph"/>
              <w:numPr>
                <w:ilvl w:val="0"/>
                <w:numId w:val="33"/>
              </w:numPr>
              <w:spacing w:before="120" w:after="120" w:line="320" w:lineRule="exact"/>
              <w:ind w:left="318" w:hanging="284"/>
              <w:rPr>
                <w:rFonts w:ascii="Arial" w:hAnsi="Arial" w:cs="Arial"/>
                <w:lang w:val="en-GB"/>
              </w:rPr>
            </w:pPr>
            <w:r w:rsidRPr="000321BB">
              <w:rPr>
                <w:rFonts w:ascii="Arial" w:hAnsi="Arial" w:cs="Arial"/>
                <w:lang w:val="en-GB"/>
              </w:rPr>
              <w:t>With support from Iwi M</w:t>
            </w:r>
            <w:r w:rsidR="006923EA">
              <w:rPr>
                <w:rFonts w:ascii="Arial" w:hAnsi="Arial" w:cs="Arial"/>
                <w:lang w:val="en-GB"/>
              </w:rPr>
              <w:t>ā</w:t>
            </w:r>
            <w:r w:rsidRPr="000321BB">
              <w:rPr>
                <w:rFonts w:ascii="Arial" w:hAnsi="Arial" w:cs="Arial"/>
                <w:lang w:val="en-GB"/>
              </w:rPr>
              <w:t>ori improve the participation of Maori youth in tertiary education that supports local industry, particularly the sciences;</w:t>
            </w:r>
          </w:p>
          <w:p w:rsidR="00CA754A" w:rsidRDefault="00CA754A" w:rsidP="00CA754A">
            <w:pPr>
              <w:rPr>
                <w:lang w:val="en-GB"/>
              </w:rPr>
            </w:pPr>
          </w:p>
          <w:p w:rsidR="006E222F" w:rsidRDefault="006E222F" w:rsidP="00CA754A">
            <w:pPr>
              <w:rPr>
                <w:lang w:val="en-GB"/>
              </w:rPr>
            </w:pPr>
          </w:p>
          <w:p w:rsidR="006E222F" w:rsidRPr="00CA754A" w:rsidRDefault="006E222F" w:rsidP="00CA754A">
            <w:pPr>
              <w:rPr>
                <w:lang w:val="en-GB"/>
              </w:rPr>
            </w:pPr>
          </w:p>
        </w:tc>
        <w:tc>
          <w:tcPr>
            <w:tcW w:w="1418" w:type="dxa"/>
          </w:tcPr>
          <w:p w:rsidR="00CA754A" w:rsidRDefault="000321BB" w:rsidP="000321BB">
            <w:pPr>
              <w:pStyle w:val="BodyText"/>
              <w:spacing w:line="320" w:lineRule="exact"/>
              <w:ind w:left="0"/>
              <w:rPr>
                <w:lang w:val="en-NZ"/>
              </w:rPr>
            </w:pPr>
            <w:r>
              <w:rPr>
                <w:lang w:val="en-NZ"/>
              </w:rPr>
              <w:t>Tertiary Education Partnership with support from BOPDHB</w:t>
            </w:r>
          </w:p>
        </w:tc>
        <w:tc>
          <w:tcPr>
            <w:tcW w:w="1417" w:type="dxa"/>
          </w:tcPr>
          <w:p w:rsidR="00CA754A" w:rsidRDefault="000321BB" w:rsidP="00CA754A">
            <w:pPr>
              <w:pStyle w:val="BodyText"/>
              <w:ind w:left="0"/>
              <w:rPr>
                <w:lang w:val="en-NZ"/>
              </w:rPr>
            </w:pPr>
            <w:r>
              <w:rPr>
                <w:lang w:val="en-NZ"/>
              </w:rPr>
              <w:t>Medium</w:t>
            </w:r>
          </w:p>
        </w:tc>
        <w:tc>
          <w:tcPr>
            <w:tcW w:w="1276" w:type="dxa"/>
          </w:tcPr>
          <w:p w:rsidR="00CA754A" w:rsidRDefault="00CA754A" w:rsidP="00CA754A">
            <w:pPr>
              <w:pStyle w:val="BodyText"/>
              <w:ind w:left="0"/>
              <w:rPr>
                <w:lang w:val="en-NZ"/>
              </w:rPr>
            </w:pPr>
          </w:p>
        </w:tc>
        <w:tc>
          <w:tcPr>
            <w:tcW w:w="1559" w:type="dxa"/>
          </w:tcPr>
          <w:p w:rsidR="00CA754A" w:rsidRDefault="000321BB" w:rsidP="00CA754A">
            <w:pPr>
              <w:pStyle w:val="BodyText"/>
              <w:spacing w:line="320" w:lineRule="exact"/>
              <w:ind w:left="0"/>
              <w:rPr>
                <w:lang w:val="en-NZ"/>
              </w:rPr>
            </w:pPr>
            <w:r>
              <w:rPr>
                <w:lang w:val="en-NZ"/>
              </w:rPr>
              <w:t>Ageing Centre of Excellence is established</w:t>
            </w:r>
          </w:p>
          <w:p w:rsidR="00D2329C" w:rsidRDefault="00D2329C" w:rsidP="00CA754A">
            <w:pPr>
              <w:pStyle w:val="BodyText"/>
              <w:spacing w:line="320" w:lineRule="exact"/>
              <w:ind w:left="0"/>
              <w:rPr>
                <w:lang w:val="en-NZ"/>
              </w:rPr>
            </w:pPr>
          </w:p>
          <w:p w:rsidR="00D2329C" w:rsidRDefault="00D2329C" w:rsidP="00CA754A">
            <w:pPr>
              <w:pStyle w:val="BodyText"/>
              <w:spacing w:line="320" w:lineRule="exact"/>
              <w:ind w:left="0"/>
              <w:rPr>
                <w:lang w:val="en-NZ"/>
              </w:rPr>
            </w:pPr>
          </w:p>
          <w:p w:rsidR="00D2329C" w:rsidRDefault="00D2329C" w:rsidP="00CA754A">
            <w:pPr>
              <w:pStyle w:val="BodyText"/>
              <w:spacing w:line="320" w:lineRule="exact"/>
              <w:ind w:left="0"/>
              <w:rPr>
                <w:lang w:val="en-NZ"/>
              </w:rPr>
            </w:pPr>
          </w:p>
          <w:p w:rsidR="00D2329C" w:rsidRDefault="00D2329C" w:rsidP="00CA754A">
            <w:pPr>
              <w:pStyle w:val="BodyText"/>
              <w:spacing w:line="320" w:lineRule="exact"/>
              <w:ind w:left="0"/>
              <w:rPr>
                <w:lang w:val="en-NZ"/>
              </w:rPr>
            </w:pPr>
          </w:p>
          <w:p w:rsidR="006E222F" w:rsidRDefault="006E222F" w:rsidP="00CA754A">
            <w:pPr>
              <w:pStyle w:val="BodyText"/>
              <w:spacing w:line="320" w:lineRule="exact"/>
              <w:ind w:left="0"/>
              <w:rPr>
                <w:lang w:val="en-NZ"/>
              </w:rPr>
            </w:pPr>
          </w:p>
          <w:p w:rsidR="00D2329C" w:rsidRDefault="00D2329C" w:rsidP="00CA754A">
            <w:pPr>
              <w:pStyle w:val="BodyText"/>
              <w:spacing w:line="320" w:lineRule="exact"/>
              <w:ind w:left="0"/>
              <w:rPr>
                <w:lang w:val="en-NZ"/>
              </w:rPr>
            </w:pPr>
          </w:p>
          <w:p w:rsidR="006E222F" w:rsidRDefault="000321BB" w:rsidP="00CA754A">
            <w:pPr>
              <w:pStyle w:val="BodyText"/>
              <w:spacing w:line="320" w:lineRule="exact"/>
              <w:ind w:left="0"/>
              <w:rPr>
                <w:lang w:val="en-NZ"/>
              </w:rPr>
            </w:pPr>
            <w:r>
              <w:rPr>
                <w:lang w:val="en-NZ"/>
              </w:rPr>
              <w:t xml:space="preserve">Programmes can demonstrate consideration for population ageing impacts </w:t>
            </w:r>
          </w:p>
          <w:p w:rsidR="006E222F" w:rsidRDefault="006E222F" w:rsidP="00CA754A">
            <w:pPr>
              <w:pStyle w:val="BodyText"/>
              <w:spacing w:line="320" w:lineRule="exact"/>
              <w:ind w:left="0"/>
              <w:rPr>
                <w:lang w:val="en-NZ"/>
              </w:rPr>
            </w:pPr>
          </w:p>
          <w:p w:rsidR="006E222F" w:rsidRDefault="008761C6" w:rsidP="006E222F">
            <w:pPr>
              <w:pStyle w:val="BodyText"/>
              <w:spacing w:line="320" w:lineRule="exact"/>
              <w:ind w:left="0"/>
              <w:rPr>
                <w:lang w:val="en-NZ"/>
              </w:rPr>
            </w:pPr>
            <w:r>
              <w:rPr>
                <w:lang w:val="en-NZ"/>
              </w:rPr>
              <w:t>Rates of M</w:t>
            </w:r>
            <w:r w:rsidR="006E222F">
              <w:rPr>
                <w:lang w:val="en-NZ"/>
              </w:rPr>
              <w:t>ā</w:t>
            </w:r>
            <w:r>
              <w:rPr>
                <w:lang w:val="en-NZ"/>
              </w:rPr>
              <w:t>ori youth participation and placement in local full time work improve</w:t>
            </w:r>
          </w:p>
          <w:p w:rsidR="006E222F" w:rsidRDefault="006E222F" w:rsidP="006E222F">
            <w:pPr>
              <w:pStyle w:val="BodyText"/>
              <w:spacing w:line="320" w:lineRule="exact"/>
              <w:ind w:left="0"/>
              <w:rPr>
                <w:lang w:val="en-NZ"/>
              </w:rPr>
            </w:pPr>
          </w:p>
          <w:p w:rsidR="000321BB" w:rsidRDefault="000321BB" w:rsidP="006E222F">
            <w:pPr>
              <w:pStyle w:val="BodyText"/>
              <w:spacing w:line="320" w:lineRule="exact"/>
              <w:ind w:left="0"/>
              <w:rPr>
                <w:lang w:val="en-NZ"/>
              </w:rPr>
            </w:pPr>
            <w:r>
              <w:rPr>
                <w:lang w:val="en-NZ"/>
              </w:rPr>
              <w:t xml:space="preserve">            </w:t>
            </w:r>
          </w:p>
        </w:tc>
      </w:tr>
      <w:tr w:rsidR="00E447FD" w:rsidTr="006E222F">
        <w:tc>
          <w:tcPr>
            <w:tcW w:w="3544" w:type="dxa"/>
          </w:tcPr>
          <w:p w:rsidR="006923EA" w:rsidRDefault="006923EA" w:rsidP="006923EA">
            <w:pPr>
              <w:pStyle w:val="Heading3"/>
              <w:numPr>
                <w:ilvl w:val="0"/>
                <w:numId w:val="0"/>
              </w:numPr>
              <w:spacing w:before="120" w:after="120" w:line="320" w:lineRule="exact"/>
            </w:pPr>
            <w:r w:rsidRPr="00DA7967">
              <w:t xml:space="preserve">That the </w:t>
            </w:r>
            <w:r>
              <w:t>Bay of Plenty R</w:t>
            </w:r>
            <w:r w:rsidRPr="00DA7967">
              <w:t xml:space="preserve">egional </w:t>
            </w:r>
            <w:r>
              <w:t xml:space="preserve">Council </w:t>
            </w:r>
            <w:r w:rsidRPr="00DA7967">
              <w:t>strengthen</w:t>
            </w:r>
            <w:r w:rsidR="00D2329C">
              <w:t>s</w:t>
            </w:r>
            <w:r w:rsidRPr="00DA7967">
              <w:t xml:space="preserve"> its investment in economic development by:</w:t>
            </w:r>
          </w:p>
          <w:p w:rsidR="006E222F" w:rsidRPr="006E222F" w:rsidRDefault="006923EA" w:rsidP="006E222F">
            <w:pPr>
              <w:pStyle w:val="ListParagraph"/>
              <w:numPr>
                <w:ilvl w:val="0"/>
                <w:numId w:val="34"/>
              </w:numPr>
              <w:spacing w:before="120" w:after="120" w:line="320" w:lineRule="exact"/>
              <w:ind w:left="318" w:hanging="284"/>
              <w:jc w:val="both"/>
              <w:rPr>
                <w:rFonts w:ascii="Arial" w:hAnsi="Arial" w:cs="Arial"/>
                <w:lang w:val="en-GB"/>
              </w:rPr>
            </w:pPr>
            <w:r w:rsidRPr="006923EA">
              <w:rPr>
                <w:rFonts w:ascii="Arial" w:hAnsi="Arial" w:cs="Arial"/>
                <w:lang w:val="en-GB"/>
              </w:rPr>
              <w:t>Investing in research to analyse workforce implications and identify business opportunities arising from population ageing in the sub region</w:t>
            </w:r>
          </w:p>
          <w:p w:rsidR="006923EA" w:rsidRPr="006923EA" w:rsidRDefault="006923EA" w:rsidP="006923EA">
            <w:pPr>
              <w:pStyle w:val="ListParagraph"/>
              <w:numPr>
                <w:ilvl w:val="0"/>
                <w:numId w:val="34"/>
              </w:numPr>
              <w:spacing w:before="120" w:after="120" w:line="320" w:lineRule="exact"/>
              <w:ind w:left="318" w:hanging="284"/>
              <w:jc w:val="both"/>
              <w:rPr>
                <w:rFonts w:ascii="Arial" w:hAnsi="Arial" w:cs="Arial"/>
                <w:lang w:val="en-GB"/>
              </w:rPr>
            </w:pPr>
            <w:r w:rsidRPr="006923EA">
              <w:rPr>
                <w:rFonts w:ascii="Arial" w:hAnsi="Arial" w:cs="Arial"/>
                <w:lang w:val="en-GB"/>
              </w:rPr>
              <w:t>Establishing an ageing innovation cluster within Bay of Connections</w:t>
            </w:r>
          </w:p>
          <w:p w:rsidR="00E447FD" w:rsidRDefault="00E447FD" w:rsidP="00CA754A">
            <w:pPr>
              <w:pStyle w:val="Heading3"/>
              <w:numPr>
                <w:ilvl w:val="0"/>
                <w:numId w:val="0"/>
              </w:numPr>
              <w:spacing w:before="120" w:after="120" w:line="320" w:lineRule="exact"/>
              <w:jc w:val="both"/>
            </w:pPr>
          </w:p>
        </w:tc>
        <w:tc>
          <w:tcPr>
            <w:tcW w:w="1418" w:type="dxa"/>
          </w:tcPr>
          <w:p w:rsidR="00E447FD" w:rsidRDefault="006923EA" w:rsidP="000321BB">
            <w:pPr>
              <w:pStyle w:val="BodyText"/>
              <w:spacing w:line="320" w:lineRule="exact"/>
              <w:ind w:left="0"/>
              <w:rPr>
                <w:lang w:val="en-NZ"/>
              </w:rPr>
            </w:pPr>
            <w:r>
              <w:rPr>
                <w:lang w:val="en-NZ"/>
              </w:rPr>
              <w:t>BOPRC</w:t>
            </w:r>
          </w:p>
        </w:tc>
        <w:tc>
          <w:tcPr>
            <w:tcW w:w="1417" w:type="dxa"/>
          </w:tcPr>
          <w:p w:rsidR="00E447FD" w:rsidRDefault="006923EA" w:rsidP="00CA754A">
            <w:pPr>
              <w:pStyle w:val="BodyText"/>
              <w:ind w:left="0"/>
              <w:rPr>
                <w:lang w:val="en-NZ"/>
              </w:rPr>
            </w:pPr>
            <w:r>
              <w:rPr>
                <w:lang w:val="en-NZ"/>
              </w:rPr>
              <w:t>Medium</w:t>
            </w:r>
          </w:p>
        </w:tc>
        <w:tc>
          <w:tcPr>
            <w:tcW w:w="1276" w:type="dxa"/>
          </w:tcPr>
          <w:p w:rsidR="00E447FD" w:rsidRDefault="006923EA" w:rsidP="00CA754A">
            <w:pPr>
              <w:pStyle w:val="BodyText"/>
              <w:ind w:left="0"/>
              <w:rPr>
                <w:lang w:val="en-NZ"/>
              </w:rPr>
            </w:pPr>
            <w:r>
              <w:rPr>
                <w:lang w:val="en-NZ"/>
              </w:rPr>
              <w:t>BOPRC</w:t>
            </w:r>
          </w:p>
        </w:tc>
        <w:tc>
          <w:tcPr>
            <w:tcW w:w="1559" w:type="dxa"/>
          </w:tcPr>
          <w:p w:rsidR="00D2329C" w:rsidRDefault="00D2329C" w:rsidP="00CA754A">
            <w:pPr>
              <w:pStyle w:val="BodyText"/>
              <w:spacing w:line="320" w:lineRule="exact"/>
              <w:ind w:left="0"/>
              <w:rPr>
                <w:lang w:val="en-NZ"/>
              </w:rPr>
            </w:pPr>
          </w:p>
          <w:p w:rsidR="00D2329C" w:rsidRDefault="00D2329C" w:rsidP="00CA754A">
            <w:pPr>
              <w:pStyle w:val="BodyText"/>
              <w:spacing w:line="320" w:lineRule="exact"/>
              <w:ind w:left="0"/>
              <w:rPr>
                <w:lang w:val="en-NZ"/>
              </w:rPr>
            </w:pPr>
          </w:p>
          <w:p w:rsidR="006E222F" w:rsidRDefault="006E222F" w:rsidP="00CA754A">
            <w:pPr>
              <w:pStyle w:val="BodyText"/>
              <w:spacing w:line="320" w:lineRule="exact"/>
              <w:ind w:left="0"/>
              <w:rPr>
                <w:lang w:val="en-NZ"/>
              </w:rPr>
            </w:pPr>
          </w:p>
          <w:p w:rsidR="00E447FD" w:rsidRDefault="006923EA" w:rsidP="00CA754A">
            <w:pPr>
              <w:pStyle w:val="BodyText"/>
              <w:spacing w:line="320" w:lineRule="exact"/>
              <w:ind w:left="0"/>
              <w:rPr>
                <w:lang w:val="en-NZ"/>
              </w:rPr>
            </w:pPr>
            <w:r>
              <w:rPr>
                <w:lang w:val="en-NZ"/>
              </w:rPr>
              <w:t>Evidence of research</w:t>
            </w:r>
          </w:p>
          <w:p w:rsidR="006923EA" w:rsidRDefault="006923EA" w:rsidP="00CA754A">
            <w:pPr>
              <w:pStyle w:val="BodyText"/>
              <w:spacing w:line="320" w:lineRule="exact"/>
              <w:ind w:left="0"/>
              <w:rPr>
                <w:lang w:val="en-NZ"/>
              </w:rPr>
            </w:pPr>
          </w:p>
          <w:p w:rsidR="00D2329C" w:rsidRDefault="00D2329C" w:rsidP="00CA754A">
            <w:pPr>
              <w:pStyle w:val="BodyText"/>
              <w:spacing w:line="320" w:lineRule="exact"/>
              <w:ind w:left="0"/>
              <w:rPr>
                <w:lang w:val="en-NZ"/>
              </w:rPr>
            </w:pPr>
          </w:p>
          <w:p w:rsidR="006E222F" w:rsidRDefault="006E222F" w:rsidP="00CA754A">
            <w:pPr>
              <w:pStyle w:val="BodyText"/>
              <w:spacing w:line="320" w:lineRule="exact"/>
              <w:ind w:left="0"/>
              <w:rPr>
                <w:lang w:val="en-NZ"/>
              </w:rPr>
            </w:pPr>
          </w:p>
          <w:p w:rsidR="006923EA" w:rsidRDefault="006923EA" w:rsidP="00CA754A">
            <w:pPr>
              <w:pStyle w:val="BodyText"/>
              <w:spacing w:line="320" w:lineRule="exact"/>
              <w:ind w:left="0"/>
              <w:rPr>
                <w:lang w:val="en-NZ"/>
              </w:rPr>
            </w:pPr>
            <w:r>
              <w:rPr>
                <w:lang w:val="en-NZ"/>
              </w:rPr>
              <w:t>Ageing innovation cluster established</w:t>
            </w:r>
          </w:p>
        </w:tc>
      </w:tr>
    </w:tbl>
    <w:p w:rsidR="000701C1" w:rsidRDefault="00AF15D4" w:rsidP="006137BB">
      <w:pPr>
        <w:pStyle w:val="Heading2"/>
        <w:spacing w:before="120" w:after="120" w:line="320" w:lineRule="exact"/>
        <w:ind w:left="709" w:hanging="709"/>
        <w:rPr>
          <w:u w:val="none"/>
        </w:rPr>
      </w:pPr>
      <w:bookmarkStart w:id="9" w:name="_Toc340245221"/>
      <w:r>
        <w:rPr>
          <w:u w:val="none"/>
        </w:rPr>
        <w:t>Liveable communities</w:t>
      </w:r>
      <w:bookmarkEnd w:id="9"/>
    </w:p>
    <w:tbl>
      <w:tblPr>
        <w:tblStyle w:val="TableGrid"/>
        <w:tblW w:w="9214" w:type="dxa"/>
        <w:tblInd w:w="108" w:type="dxa"/>
        <w:tblLayout w:type="fixed"/>
        <w:tblLook w:val="04A0" w:firstRow="1" w:lastRow="0" w:firstColumn="1" w:lastColumn="0" w:noHBand="0" w:noVBand="1"/>
      </w:tblPr>
      <w:tblGrid>
        <w:gridCol w:w="3544"/>
        <w:gridCol w:w="1418"/>
        <w:gridCol w:w="1417"/>
        <w:gridCol w:w="1276"/>
        <w:gridCol w:w="1559"/>
      </w:tblGrid>
      <w:tr w:rsidR="006923EA" w:rsidRPr="00D2329C" w:rsidTr="006E222F">
        <w:tc>
          <w:tcPr>
            <w:tcW w:w="3544" w:type="dxa"/>
            <w:shd w:val="clear" w:color="auto" w:fill="D9D9D9" w:themeFill="background1" w:themeFillShade="D9"/>
          </w:tcPr>
          <w:p w:rsidR="006923EA" w:rsidRPr="00D2329C" w:rsidRDefault="006923EA" w:rsidP="006923EA">
            <w:pPr>
              <w:pStyle w:val="BodyText"/>
              <w:ind w:left="0"/>
              <w:rPr>
                <w:b/>
                <w:lang w:val="en-NZ"/>
              </w:rPr>
            </w:pPr>
            <w:r w:rsidRPr="00D2329C">
              <w:rPr>
                <w:b/>
                <w:lang w:val="en-NZ"/>
              </w:rPr>
              <w:t>Action</w:t>
            </w:r>
          </w:p>
        </w:tc>
        <w:tc>
          <w:tcPr>
            <w:tcW w:w="1418" w:type="dxa"/>
            <w:shd w:val="clear" w:color="auto" w:fill="D9D9D9" w:themeFill="background1" w:themeFillShade="D9"/>
          </w:tcPr>
          <w:p w:rsidR="006923EA" w:rsidRPr="00D2329C" w:rsidRDefault="006923EA" w:rsidP="006923EA">
            <w:pPr>
              <w:pStyle w:val="BodyText"/>
              <w:ind w:left="0"/>
              <w:rPr>
                <w:b/>
                <w:lang w:val="en-NZ"/>
              </w:rPr>
            </w:pPr>
            <w:r w:rsidRPr="00D2329C">
              <w:rPr>
                <w:b/>
                <w:lang w:val="en-NZ"/>
              </w:rPr>
              <w:t>Lead Agency</w:t>
            </w:r>
          </w:p>
        </w:tc>
        <w:tc>
          <w:tcPr>
            <w:tcW w:w="1417" w:type="dxa"/>
            <w:shd w:val="clear" w:color="auto" w:fill="D9D9D9" w:themeFill="background1" w:themeFillShade="D9"/>
          </w:tcPr>
          <w:p w:rsidR="006923EA" w:rsidRPr="00D2329C" w:rsidRDefault="006923EA" w:rsidP="006923EA">
            <w:pPr>
              <w:pStyle w:val="BodyText"/>
              <w:ind w:left="0"/>
              <w:rPr>
                <w:b/>
                <w:lang w:val="en-NZ"/>
              </w:rPr>
            </w:pPr>
            <w:r w:rsidRPr="00D2329C">
              <w:rPr>
                <w:b/>
                <w:lang w:val="en-NZ"/>
              </w:rPr>
              <w:t>Time</w:t>
            </w:r>
          </w:p>
        </w:tc>
        <w:tc>
          <w:tcPr>
            <w:tcW w:w="1276" w:type="dxa"/>
            <w:shd w:val="clear" w:color="auto" w:fill="D9D9D9" w:themeFill="background1" w:themeFillShade="D9"/>
          </w:tcPr>
          <w:p w:rsidR="006923EA" w:rsidRPr="00D2329C" w:rsidRDefault="006923EA" w:rsidP="006923EA">
            <w:pPr>
              <w:pStyle w:val="BodyText"/>
              <w:ind w:left="0"/>
              <w:rPr>
                <w:b/>
                <w:lang w:val="en-NZ"/>
              </w:rPr>
            </w:pPr>
            <w:r w:rsidRPr="00D2329C">
              <w:rPr>
                <w:b/>
                <w:lang w:val="en-NZ"/>
              </w:rPr>
              <w:t xml:space="preserve">Funding </w:t>
            </w:r>
          </w:p>
        </w:tc>
        <w:tc>
          <w:tcPr>
            <w:tcW w:w="1559" w:type="dxa"/>
            <w:shd w:val="clear" w:color="auto" w:fill="D9D9D9" w:themeFill="background1" w:themeFillShade="D9"/>
          </w:tcPr>
          <w:p w:rsidR="006923EA" w:rsidRPr="00D2329C" w:rsidRDefault="006923EA" w:rsidP="006923EA">
            <w:pPr>
              <w:pStyle w:val="BodyText"/>
              <w:ind w:left="0"/>
              <w:rPr>
                <w:b/>
                <w:lang w:val="en-NZ"/>
              </w:rPr>
            </w:pPr>
            <w:r w:rsidRPr="00D2329C">
              <w:rPr>
                <w:b/>
                <w:lang w:val="en-NZ"/>
              </w:rPr>
              <w:t>Measure of Success</w:t>
            </w:r>
          </w:p>
        </w:tc>
      </w:tr>
      <w:tr w:rsidR="006923EA" w:rsidTr="006E222F">
        <w:trPr>
          <w:trHeight w:val="2731"/>
        </w:trPr>
        <w:tc>
          <w:tcPr>
            <w:tcW w:w="3544" w:type="dxa"/>
          </w:tcPr>
          <w:p w:rsidR="006923EA" w:rsidRPr="006923EA" w:rsidRDefault="006923EA" w:rsidP="006E222F">
            <w:pPr>
              <w:pStyle w:val="Heading3"/>
              <w:numPr>
                <w:ilvl w:val="0"/>
                <w:numId w:val="0"/>
              </w:numPr>
              <w:spacing w:before="120" w:after="120" w:line="320" w:lineRule="exact"/>
              <w:jc w:val="both"/>
            </w:pPr>
            <w:r>
              <w:t xml:space="preserve">In </w:t>
            </w:r>
            <w:r w:rsidR="006E222F">
              <w:t xml:space="preserve">its strategic role, SmartGrowth </w:t>
            </w:r>
            <w:r>
              <w:t>undertake an investigation into the requirements of liveable communities, including the requirements of an ageing population, to provide an evidence basis for co-investment with central government to implement the settlement pattern.</w:t>
            </w:r>
          </w:p>
        </w:tc>
        <w:tc>
          <w:tcPr>
            <w:tcW w:w="1418" w:type="dxa"/>
          </w:tcPr>
          <w:p w:rsidR="006923EA" w:rsidRDefault="006923EA" w:rsidP="006923EA">
            <w:pPr>
              <w:pStyle w:val="BodyText"/>
              <w:ind w:left="0"/>
              <w:rPr>
                <w:lang w:val="en-NZ"/>
              </w:rPr>
            </w:pPr>
            <w:r>
              <w:rPr>
                <w:lang w:val="en-NZ"/>
              </w:rPr>
              <w:t>Smart</w:t>
            </w:r>
            <w:r w:rsidR="006E222F">
              <w:rPr>
                <w:lang w:val="en-NZ"/>
              </w:rPr>
              <w:t xml:space="preserve"> </w:t>
            </w:r>
            <w:r>
              <w:rPr>
                <w:lang w:val="en-NZ"/>
              </w:rPr>
              <w:t>Growth</w:t>
            </w:r>
          </w:p>
        </w:tc>
        <w:tc>
          <w:tcPr>
            <w:tcW w:w="1417" w:type="dxa"/>
          </w:tcPr>
          <w:p w:rsidR="006923EA" w:rsidRDefault="00D2329C" w:rsidP="006923EA">
            <w:pPr>
              <w:pStyle w:val="BodyText"/>
              <w:ind w:left="0"/>
              <w:rPr>
                <w:lang w:val="en-NZ"/>
              </w:rPr>
            </w:pPr>
            <w:r>
              <w:rPr>
                <w:lang w:val="en-NZ"/>
              </w:rPr>
              <w:t>Short</w:t>
            </w:r>
          </w:p>
        </w:tc>
        <w:tc>
          <w:tcPr>
            <w:tcW w:w="1276" w:type="dxa"/>
          </w:tcPr>
          <w:p w:rsidR="006923EA" w:rsidRDefault="006923EA" w:rsidP="006923EA">
            <w:pPr>
              <w:pStyle w:val="BodyText"/>
              <w:ind w:left="0"/>
              <w:rPr>
                <w:lang w:val="en-NZ"/>
              </w:rPr>
            </w:pPr>
          </w:p>
        </w:tc>
        <w:tc>
          <w:tcPr>
            <w:tcW w:w="1559" w:type="dxa"/>
          </w:tcPr>
          <w:p w:rsidR="006923EA" w:rsidRDefault="00D2329C" w:rsidP="00D2329C">
            <w:pPr>
              <w:pStyle w:val="BodyText"/>
              <w:spacing w:line="320" w:lineRule="exact"/>
              <w:ind w:left="0"/>
              <w:rPr>
                <w:lang w:val="en-NZ"/>
              </w:rPr>
            </w:pPr>
            <w:r>
              <w:rPr>
                <w:lang w:val="en-NZ"/>
              </w:rPr>
              <w:t>Investigation undertaken and recommendations formulated</w:t>
            </w:r>
          </w:p>
        </w:tc>
      </w:tr>
      <w:tr w:rsidR="006923EA" w:rsidTr="006E222F">
        <w:tc>
          <w:tcPr>
            <w:tcW w:w="3544" w:type="dxa"/>
          </w:tcPr>
          <w:p w:rsidR="00D637AE" w:rsidRDefault="00D637AE" w:rsidP="00D637AE">
            <w:pPr>
              <w:pStyle w:val="Heading3"/>
              <w:numPr>
                <w:ilvl w:val="0"/>
                <w:numId w:val="0"/>
              </w:numPr>
              <w:spacing w:before="120" w:after="120" w:line="320" w:lineRule="exact"/>
              <w:jc w:val="both"/>
            </w:pPr>
            <w:r>
              <w:t>In its ‘place making’ role, SmartGrowth:</w:t>
            </w:r>
          </w:p>
          <w:p w:rsidR="00D637AE" w:rsidRDefault="00D637AE" w:rsidP="00D637AE">
            <w:pPr>
              <w:pStyle w:val="Heading3"/>
              <w:numPr>
                <w:ilvl w:val="0"/>
                <w:numId w:val="35"/>
              </w:numPr>
              <w:spacing w:before="120" w:after="120" w:line="320" w:lineRule="exact"/>
              <w:ind w:left="318" w:hanging="318"/>
              <w:jc w:val="both"/>
            </w:pPr>
            <w:r>
              <w:t>take the lead in bringing together local housing providers, the social sector forum, social care services, and the voluntary sector to identify the barriers and recommend  policies to ensure well-designed, affordable homes, having regard to the ethos of Lifetime Homes (universal design), Lifetime Neighbourhoods and the desire of people to age-in-place;</w:t>
            </w:r>
          </w:p>
          <w:p w:rsidR="006923EA" w:rsidRPr="00D2329C" w:rsidRDefault="00D637AE" w:rsidP="00D2329C">
            <w:pPr>
              <w:pStyle w:val="ListParagraph"/>
              <w:numPr>
                <w:ilvl w:val="0"/>
                <w:numId w:val="33"/>
              </w:numPr>
              <w:spacing w:before="120" w:after="120" w:line="320" w:lineRule="exact"/>
              <w:ind w:left="318" w:hanging="284"/>
              <w:jc w:val="both"/>
              <w:rPr>
                <w:rFonts w:ascii="Arial" w:hAnsi="Arial" w:cs="Arial"/>
                <w:lang w:val="en-GB"/>
              </w:rPr>
            </w:pPr>
            <w:r w:rsidRPr="00D2329C">
              <w:rPr>
                <w:rFonts w:ascii="Arial" w:hAnsi="Arial" w:cs="Arial"/>
                <w:lang w:val="en-GB"/>
              </w:rPr>
              <w:t xml:space="preserve">undertake a cost and market assessment of universal design housing as the basis for a factsheet </w:t>
            </w:r>
            <w:r w:rsidR="00D2329C" w:rsidRPr="00D2329C">
              <w:rPr>
                <w:rFonts w:ascii="Arial" w:hAnsi="Arial" w:cs="Arial"/>
                <w:lang w:val="en-GB"/>
              </w:rPr>
              <w:t>for promotion of this type of housing.</w:t>
            </w:r>
          </w:p>
        </w:tc>
        <w:tc>
          <w:tcPr>
            <w:tcW w:w="1418" w:type="dxa"/>
          </w:tcPr>
          <w:p w:rsidR="006923EA" w:rsidRDefault="00D2329C" w:rsidP="006923EA">
            <w:pPr>
              <w:pStyle w:val="BodyText"/>
              <w:spacing w:line="320" w:lineRule="exact"/>
              <w:ind w:left="0"/>
              <w:rPr>
                <w:lang w:val="en-NZ"/>
              </w:rPr>
            </w:pPr>
            <w:r>
              <w:rPr>
                <w:lang w:val="en-NZ"/>
              </w:rPr>
              <w:t>Smart</w:t>
            </w:r>
            <w:r w:rsidR="006E222F">
              <w:rPr>
                <w:lang w:val="en-NZ"/>
              </w:rPr>
              <w:t xml:space="preserve"> </w:t>
            </w:r>
            <w:r>
              <w:rPr>
                <w:lang w:val="en-NZ"/>
              </w:rPr>
              <w:t>Growth</w:t>
            </w:r>
          </w:p>
        </w:tc>
        <w:tc>
          <w:tcPr>
            <w:tcW w:w="1417" w:type="dxa"/>
          </w:tcPr>
          <w:p w:rsidR="006923EA" w:rsidRDefault="00D2329C" w:rsidP="006923EA">
            <w:pPr>
              <w:pStyle w:val="BodyText"/>
              <w:ind w:left="0"/>
              <w:rPr>
                <w:lang w:val="en-NZ"/>
              </w:rPr>
            </w:pPr>
            <w:r>
              <w:rPr>
                <w:lang w:val="en-NZ"/>
              </w:rPr>
              <w:t>Short</w:t>
            </w:r>
          </w:p>
        </w:tc>
        <w:tc>
          <w:tcPr>
            <w:tcW w:w="1276" w:type="dxa"/>
          </w:tcPr>
          <w:p w:rsidR="006923EA" w:rsidRDefault="006923EA" w:rsidP="006923EA">
            <w:pPr>
              <w:pStyle w:val="BodyText"/>
              <w:ind w:left="0"/>
              <w:rPr>
                <w:lang w:val="en-NZ"/>
              </w:rPr>
            </w:pPr>
          </w:p>
        </w:tc>
        <w:tc>
          <w:tcPr>
            <w:tcW w:w="1559" w:type="dxa"/>
          </w:tcPr>
          <w:p w:rsidR="006923EA" w:rsidRDefault="00D2329C" w:rsidP="006923EA">
            <w:pPr>
              <w:pStyle w:val="BodyText"/>
              <w:spacing w:line="320" w:lineRule="exact"/>
              <w:ind w:left="0"/>
              <w:rPr>
                <w:lang w:val="en-NZ"/>
              </w:rPr>
            </w:pPr>
            <w:r>
              <w:rPr>
                <w:lang w:val="en-NZ"/>
              </w:rPr>
              <w:t xml:space="preserve">Policy approaches </w:t>
            </w:r>
            <w:r w:rsidR="006E222F">
              <w:rPr>
                <w:lang w:val="en-NZ"/>
              </w:rPr>
              <w:t>developed</w:t>
            </w:r>
          </w:p>
          <w:p w:rsidR="00D2329C" w:rsidRDefault="00D2329C" w:rsidP="006923EA">
            <w:pPr>
              <w:pStyle w:val="BodyText"/>
              <w:spacing w:line="320" w:lineRule="exact"/>
              <w:ind w:left="0"/>
              <w:rPr>
                <w:lang w:val="en-NZ"/>
              </w:rPr>
            </w:pPr>
          </w:p>
          <w:p w:rsidR="00D2329C" w:rsidRDefault="00D2329C" w:rsidP="006923EA">
            <w:pPr>
              <w:pStyle w:val="BodyText"/>
              <w:spacing w:line="320" w:lineRule="exact"/>
              <w:ind w:left="0"/>
              <w:rPr>
                <w:lang w:val="en-NZ"/>
              </w:rPr>
            </w:pPr>
          </w:p>
          <w:p w:rsidR="00D2329C" w:rsidRDefault="00D2329C" w:rsidP="006923EA">
            <w:pPr>
              <w:pStyle w:val="BodyText"/>
              <w:spacing w:line="320" w:lineRule="exact"/>
              <w:ind w:left="0"/>
              <w:rPr>
                <w:lang w:val="en-NZ"/>
              </w:rPr>
            </w:pPr>
          </w:p>
          <w:p w:rsidR="00D2329C" w:rsidRDefault="00D2329C" w:rsidP="006923EA">
            <w:pPr>
              <w:pStyle w:val="BodyText"/>
              <w:spacing w:line="320" w:lineRule="exact"/>
              <w:ind w:left="0"/>
              <w:rPr>
                <w:lang w:val="en-NZ"/>
              </w:rPr>
            </w:pPr>
          </w:p>
          <w:p w:rsidR="00D2329C" w:rsidRDefault="00D2329C" w:rsidP="006923EA">
            <w:pPr>
              <w:pStyle w:val="BodyText"/>
              <w:spacing w:line="320" w:lineRule="exact"/>
              <w:ind w:left="0"/>
              <w:rPr>
                <w:lang w:val="en-NZ"/>
              </w:rPr>
            </w:pPr>
          </w:p>
          <w:p w:rsidR="00D2329C" w:rsidRDefault="00D2329C" w:rsidP="006923EA">
            <w:pPr>
              <w:pStyle w:val="BodyText"/>
              <w:spacing w:line="320" w:lineRule="exact"/>
              <w:ind w:left="0"/>
              <w:rPr>
                <w:lang w:val="en-NZ"/>
              </w:rPr>
            </w:pPr>
          </w:p>
          <w:p w:rsidR="006E222F" w:rsidRDefault="006E222F" w:rsidP="006923EA">
            <w:pPr>
              <w:pStyle w:val="BodyText"/>
              <w:spacing w:line="320" w:lineRule="exact"/>
              <w:ind w:left="0"/>
              <w:rPr>
                <w:lang w:val="en-NZ"/>
              </w:rPr>
            </w:pPr>
          </w:p>
          <w:p w:rsidR="006E222F" w:rsidRDefault="006E222F" w:rsidP="006923EA">
            <w:pPr>
              <w:pStyle w:val="BodyText"/>
              <w:spacing w:line="320" w:lineRule="exact"/>
              <w:ind w:left="0"/>
              <w:rPr>
                <w:lang w:val="en-NZ"/>
              </w:rPr>
            </w:pPr>
          </w:p>
          <w:p w:rsidR="006E222F" w:rsidRDefault="006E222F" w:rsidP="006923EA">
            <w:pPr>
              <w:pStyle w:val="BodyText"/>
              <w:spacing w:line="320" w:lineRule="exact"/>
              <w:ind w:left="0"/>
              <w:rPr>
                <w:lang w:val="en-NZ"/>
              </w:rPr>
            </w:pPr>
          </w:p>
          <w:p w:rsidR="006E222F" w:rsidRDefault="006E222F" w:rsidP="006923EA">
            <w:pPr>
              <w:pStyle w:val="BodyText"/>
              <w:spacing w:line="320" w:lineRule="exact"/>
              <w:ind w:left="0"/>
              <w:rPr>
                <w:lang w:val="en-NZ"/>
              </w:rPr>
            </w:pPr>
          </w:p>
          <w:p w:rsidR="00D2329C" w:rsidRDefault="00D2329C" w:rsidP="006923EA">
            <w:pPr>
              <w:pStyle w:val="BodyText"/>
              <w:spacing w:line="320" w:lineRule="exact"/>
              <w:ind w:left="0"/>
              <w:rPr>
                <w:lang w:val="en-NZ"/>
              </w:rPr>
            </w:pPr>
            <w:r>
              <w:rPr>
                <w:lang w:val="en-NZ"/>
              </w:rPr>
              <w:t>Factsheet developed</w:t>
            </w:r>
          </w:p>
          <w:p w:rsidR="00D2329C" w:rsidRDefault="00D2329C" w:rsidP="006923EA">
            <w:pPr>
              <w:pStyle w:val="BodyText"/>
              <w:spacing w:line="320" w:lineRule="exact"/>
              <w:ind w:left="0"/>
              <w:rPr>
                <w:lang w:val="en-NZ"/>
              </w:rPr>
            </w:pPr>
          </w:p>
          <w:p w:rsidR="00D2329C" w:rsidRDefault="00D2329C" w:rsidP="006923EA">
            <w:pPr>
              <w:pStyle w:val="BodyText"/>
              <w:spacing w:line="320" w:lineRule="exact"/>
              <w:ind w:left="0"/>
              <w:rPr>
                <w:lang w:val="en-NZ"/>
              </w:rPr>
            </w:pPr>
          </w:p>
        </w:tc>
      </w:tr>
    </w:tbl>
    <w:p w:rsidR="008761C6" w:rsidRPr="008761C6" w:rsidRDefault="008761C6" w:rsidP="008761C6">
      <w:pPr>
        <w:pStyle w:val="BodyText"/>
        <w:rPr>
          <w:lang w:val="en-NZ"/>
        </w:rPr>
      </w:pPr>
    </w:p>
    <w:p w:rsidR="005A3EF1" w:rsidRDefault="005A3EF1" w:rsidP="001F6843">
      <w:pPr>
        <w:spacing w:line="320" w:lineRule="exact"/>
      </w:pPr>
    </w:p>
    <w:p w:rsidR="00CB6C87" w:rsidRDefault="00CB6C87" w:rsidP="001F6843">
      <w:pPr>
        <w:spacing w:line="320" w:lineRule="exact"/>
      </w:pPr>
    </w:p>
    <w:p w:rsidR="00CB6C87" w:rsidRDefault="00CB6C87" w:rsidP="001F6843">
      <w:pPr>
        <w:spacing w:line="320" w:lineRule="exact"/>
      </w:pPr>
    </w:p>
    <w:p w:rsidR="00B5046C" w:rsidRDefault="00B5046C"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6E222F" w:rsidRDefault="006E222F" w:rsidP="001F6843">
      <w:pPr>
        <w:spacing w:line="320" w:lineRule="exact"/>
      </w:pPr>
    </w:p>
    <w:p w:rsidR="00923E33" w:rsidRDefault="00923E33" w:rsidP="001F6843">
      <w:pPr>
        <w:spacing w:line="320" w:lineRule="exact"/>
      </w:pPr>
    </w:p>
    <w:p w:rsidR="00CB6C87" w:rsidRDefault="00CB6C87" w:rsidP="001F6843">
      <w:pPr>
        <w:spacing w:line="320" w:lineRule="exact"/>
      </w:pPr>
    </w:p>
    <w:p w:rsidR="00BC46AA" w:rsidRPr="00BC46AA" w:rsidRDefault="00E15D0B" w:rsidP="00DA6C2F">
      <w:pPr>
        <w:pStyle w:val="Heading1"/>
      </w:pPr>
      <w:bookmarkStart w:id="10" w:name="_Toc340245222"/>
      <w:r>
        <w:t>THE DEMOGRAPHIC TRANSITION TO AGEING POPULATIONS</w:t>
      </w:r>
      <w:bookmarkEnd w:id="10"/>
    </w:p>
    <w:p w:rsidR="00E15D0B" w:rsidRDefault="00E15D0B" w:rsidP="00E15D0B">
      <w:pPr>
        <w:rPr>
          <w:lang w:val="en-GB"/>
        </w:rPr>
      </w:pPr>
    </w:p>
    <w:p w:rsidR="00E15D0B" w:rsidRPr="00A52B3E" w:rsidRDefault="00E15D0B" w:rsidP="00E15D0B">
      <w:pPr>
        <w:pStyle w:val="Heading2"/>
        <w:rPr>
          <w:u w:val="none"/>
        </w:rPr>
      </w:pPr>
      <w:bookmarkStart w:id="11" w:name="_Toc340245223"/>
      <w:r w:rsidRPr="00A52B3E">
        <w:rPr>
          <w:u w:val="none"/>
        </w:rPr>
        <w:t>The phenomen</w:t>
      </w:r>
      <w:r w:rsidR="00576B42" w:rsidRPr="00A52B3E">
        <w:rPr>
          <w:u w:val="none"/>
        </w:rPr>
        <w:t>a</w:t>
      </w:r>
      <w:r w:rsidRPr="00A52B3E">
        <w:rPr>
          <w:u w:val="none"/>
        </w:rPr>
        <w:t xml:space="preserve"> of population ageing</w:t>
      </w:r>
      <w:bookmarkEnd w:id="11"/>
    </w:p>
    <w:p w:rsidR="00E15D0B" w:rsidRDefault="00E15D0B" w:rsidP="00E15D0B">
      <w:pPr>
        <w:jc w:val="both"/>
        <w:rPr>
          <w:lang w:val="en-GB"/>
        </w:rPr>
      </w:pPr>
    </w:p>
    <w:p w:rsidR="00E15D0B" w:rsidRPr="000E66B7" w:rsidRDefault="00E15D0B" w:rsidP="003F47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ascii="Helvetica" w:hAnsi="Helvetica" w:cs="Helvetica"/>
        </w:rPr>
      </w:pPr>
      <w:r>
        <w:rPr>
          <w:rFonts w:ascii="Helvetica" w:hAnsi="Helvetica" w:cs="Helvetica"/>
        </w:rPr>
        <w:t>UN Secretary General, Ban Ki Moon, t</w:t>
      </w:r>
      <w:r w:rsidRPr="00651761">
        <w:rPr>
          <w:rFonts w:ascii="Helvetica" w:hAnsi="Helvetica" w:cs="Helvetica"/>
        </w:rPr>
        <w:t>o mark UN International Day for Older people, October 1</w:t>
      </w:r>
      <w:r w:rsidRPr="00651761">
        <w:rPr>
          <w:rFonts w:ascii="Helvetica" w:hAnsi="Helvetica" w:cs="Helvetica"/>
          <w:vertAlign w:val="superscript"/>
        </w:rPr>
        <w:t>st</w:t>
      </w:r>
      <w:r>
        <w:rPr>
          <w:rFonts w:ascii="Helvetica" w:hAnsi="Helvetica" w:cs="Helvetica"/>
        </w:rPr>
        <w:t xml:space="preserve"> 2012, states:</w:t>
      </w:r>
    </w:p>
    <w:p w:rsidR="00E15D0B" w:rsidRPr="00752933" w:rsidRDefault="00E15D0B" w:rsidP="003F47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ascii="Helvetica" w:hAnsi="Helvetica" w:cs="Helvetica"/>
          <w:i/>
        </w:rPr>
      </w:pPr>
      <w:r w:rsidRPr="00752933">
        <w:rPr>
          <w:rFonts w:ascii="Helvetica" w:hAnsi="Helvetica" w:cs="Helvetica"/>
          <w:i/>
        </w:rPr>
        <w:t>Population ageing can no longer be ignored. But the social and economic implications of this phenomenon are profound, extending far beyond the individual older person and the immediate family, touching broader society and the global community in unprecedented ways.</w:t>
      </w:r>
    </w:p>
    <w:p w:rsidR="00E15D0B" w:rsidRPr="00752933" w:rsidRDefault="00E15D0B" w:rsidP="003F47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cs="Helvetica"/>
          <w:i/>
        </w:rPr>
      </w:pPr>
      <w:r w:rsidRPr="00752933">
        <w:rPr>
          <w:rFonts w:cs="Helvetica"/>
          <w:i/>
        </w:rPr>
        <w:t>On the positive side, population ageing has opened up new markets and brought us more experienced workers, a growing cadre of custodians of culture, and caregivers of grandchildren.</w:t>
      </w:r>
    </w:p>
    <w:p w:rsidR="00E15D0B" w:rsidRDefault="00E15D0B" w:rsidP="00E15D0B">
      <w:pPr>
        <w:spacing w:line="320" w:lineRule="exact"/>
        <w:jc w:val="both"/>
        <w:rPr>
          <w:lang w:val="en-GB"/>
        </w:rPr>
      </w:pPr>
      <w:r>
        <w:rPr>
          <w:lang w:val="en-GB"/>
        </w:rPr>
        <w:t>Population ageing is one of humanity’s greatest triumphs.  It is also one of our greatest challenges as it is bringing increased economic and social demands on all countries.  At the same time, older people are a precious, often ignored resource that makes an important contribution to the fabric of our societies.  Population ageing and urbanisation are the culmination of successful human development during the last century.  Living longer is the fruit of critical gains in public health and in standards of living.</w:t>
      </w:r>
    </w:p>
    <w:p w:rsidR="00E15D0B" w:rsidRDefault="00E15D0B" w:rsidP="00E15D0B">
      <w:pPr>
        <w:pStyle w:val="BodyText"/>
        <w:spacing w:line="320" w:lineRule="exact"/>
        <w:ind w:left="0"/>
        <w:jc w:val="both"/>
      </w:pPr>
      <w:r>
        <w:t>How well we age depends on a variety of influences or determinants that have to be understood from a life course perspective recognising that older people are not a homogeneous group and that individual diversity increases with age.</w:t>
      </w:r>
      <w:r>
        <w:rPr>
          <w:rStyle w:val="FootnoteReference"/>
        </w:rPr>
        <w:footnoteReference w:id="4"/>
      </w:r>
      <w:r>
        <w:t xml:space="preserve"> Economic determinants together with health and social services, behavioural, personal, physical environment and social determinants are equally as critical and collectively play an important role in affecting wellbeing as we age.   </w:t>
      </w:r>
    </w:p>
    <w:p w:rsidR="00E15D0B" w:rsidRDefault="00E15D0B" w:rsidP="00E15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rFonts w:cs="Georgia"/>
          <w:szCs w:val="30"/>
        </w:rPr>
      </w:pPr>
      <w:r>
        <w:t xml:space="preserve">Population ageing and </w:t>
      </w:r>
      <w:r w:rsidRPr="00EA335E">
        <w:t>urbanisation have become the dominant social tre</w:t>
      </w:r>
      <w:r>
        <w:t>nds of the twenty-first century as cities and communities create age-friendly life-long living environments.</w:t>
      </w:r>
      <w:r>
        <w:rPr>
          <w:rStyle w:val="FootnoteReference"/>
        </w:rPr>
        <w:footnoteReference w:id="5"/>
      </w:r>
      <w:r w:rsidRPr="00EA335E">
        <w:t xml:space="preserve"> </w:t>
      </w:r>
      <w:r>
        <w:t xml:space="preserve">By 2030, two-thirds </w:t>
      </w:r>
      <w:r w:rsidRPr="00EA335E">
        <w:t>of the world’s popula</w:t>
      </w:r>
      <w:r>
        <w:t xml:space="preserve">tion will be residing in cities.  </w:t>
      </w:r>
      <w:hyperlink r:id="rId13" w:history="1">
        <w:r w:rsidRPr="00B402EF">
          <w:rPr>
            <w:rFonts w:cs="Georgia"/>
            <w:szCs w:val="30"/>
          </w:rPr>
          <w:t>U.N. data show</w:t>
        </w:r>
      </w:hyperlink>
      <w:r w:rsidRPr="00B402EF">
        <w:t>s that by</w:t>
      </w:r>
      <w:r w:rsidRPr="00B402EF">
        <w:rPr>
          <w:rFonts w:cs="Georgia"/>
          <w:szCs w:val="30"/>
        </w:rPr>
        <w:t xml:space="preserve"> 2050,</w:t>
      </w:r>
      <w:r w:rsidRPr="00B402EF">
        <w:rPr>
          <w:rStyle w:val="FootnoteReference"/>
          <w:rFonts w:cs="Georgia"/>
          <w:szCs w:val="30"/>
        </w:rPr>
        <w:footnoteReference w:id="6"/>
      </w:r>
      <w:r w:rsidRPr="00B402EF">
        <w:rPr>
          <w:rFonts w:cs="Georgia"/>
          <w:szCs w:val="30"/>
        </w:rPr>
        <w:t xml:space="preserve"> in a world of 9 billion people, 33 countries will each have more than 10 million citizens who are 60 and older, including Brazil with 58 million, China 480 million, India 324 million, Indonesia 70 million and the United States with 107 million. In New Zealand the 65+ population will grow to over 1 million.</w:t>
      </w:r>
      <w:r>
        <w:rPr>
          <w:rFonts w:cs="Georgia"/>
          <w:szCs w:val="30"/>
        </w:rPr>
        <w:t xml:space="preserve"> </w:t>
      </w:r>
    </w:p>
    <w:p w:rsidR="00E15D0B" w:rsidRDefault="00E15D0B" w:rsidP="00E15D0B">
      <w:pPr>
        <w:jc w:val="both"/>
        <w:rPr>
          <w:b/>
          <w:u w:val="single"/>
          <w:lang w:val="en-GB"/>
        </w:rPr>
      </w:pPr>
    </w:p>
    <w:p w:rsidR="00E15D0B" w:rsidRPr="00A52B3E" w:rsidRDefault="00E15D0B" w:rsidP="00E15D0B">
      <w:pPr>
        <w:pStyle w:val="Heading2"/>
        <w:rPr>
          <w:u w:val="none"/>
          <w:lang w:val="en-GB"/>
        </w:rPr>
      </w:pPr>
      <w:bookmarkStart w:id="12" w:name="_Toc336863648"/>
      <w:bookmarkStart w:id="13" w:name="_Toc340245224"/>
      <w:r w:rsidRPr="00A52B3E">
        <w:rPr>
          <w:u w:val="none"/>
          <w:lang w:val="en-GB"/>
        </w:rPr>
        <w:t>New Zealand’s ageing reality</w:t>
      </w:r>
      <w:bookmarkEnd w:id="12"/>
      <w:bookmarkEnd w:id="13"/>
    </w:p>
    <w:p w:rsidR="00E15D0B" w:rsidRPr="00A52B3E" w:rsidRDefault="00E15D0B" w:rsidP="00E15D0B">
      <w:pPr>
        <w:jc w:val="both"/>
        <w:rPr>
          <w:lang w:val="en-GB"/>
        </w:rPr>
      </w:pPr>
    </w:p>
    <w:p w:rsidR="00E15D0B" w:rsidRDefault="00E15D0B" w:rsidP="00E15D0B">
      <w:pPr>
        <w:spacing w:line="320" w:lineRule="exact"/>
        <w:jc w:val="both"/>
        <w:rPr>
          <w:lang w:val="en-GB"/>
        </w:rPr>
      </w:pPr>
      <w:r>
        <w:rPr>
          <w:lang w:val="en-GB"/>
        </w:rPr>
        <w:t>New Zealand is effectively reflecting the demographic pathway of many societies and is similar to the OECD average.  Accordingly, New Zealand can learn from the policy responses of other countries.</w:t>
      </w:r>
    </w:p>
    <w:p w:rsidR="004E130B" w:rsidRDefault="004E130B" w:rsidP="004E13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rsidRPr="000852E8">
        <w:t xml:space="preserve">Population ageing is exacerbating a change in population distribution, with many New Zealand regions and towns in decline. </w:t>
      </w:r>
      <w:r>
        <w:t>Mature people are locating</w:t>
      </w:r>
      <w:r w:rsidRPr="004F15CA">
        <w:t xml:space="preserve"> in a number of </w:t>
      </w:r>
      <w:r>
        <w:t>naturally occurring retirement communities (NORCS)</w:t>
      </w:r>
      <w:r w:rsidRPr="004F15CA">
        <w:t xml:space="preserve"> presenting new economic challenges to planning for ‘growth’ provision of ageing-in–place </w:t>
      </w:r>
      <w:r>
        <w:t xml:space="preserve">life long living </w:t>
      </w:r>
      <w:r w:rsidRPr="004F15CA">
        <w:t xml:space="preserve">social infrastructure and elder care provision. </w:t>
      </w:r>
    </w:p>
    <w:p w:rsidR="009B367B" w:rsidRDefault="009B367B" w:rsidP="009B36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t>As a snapshot:</w:t>
      </w:r>
    </w:p>
    <w:p w:rsidR="00E15D0B" w:rsidRPr="009B367B" w:rsidRDefault="00E15D0B" w:rsidP="006C231E">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ind w:left="284" w:hanging="284"/>
        <w:jc w:val="both"/>
        <w:rPr>
          <w:rFonts w:ascii="Arial" w:hAnsi="Arial" w:cs="Arial"/>
        </w:rPr>
      </w:pPr>
      <w:r w:rsidRPr="009B367B">
        <w:rPr>
          <w:rFonts w:ascii="Arial" w:hAnsi="Arial" w:cs="Arial"/>
        </w:rPr>
        <w:t>121,000 people will move into the 65+ age group every five years between 2011 and 2031.</w:t>
      </w:r>
    </w:p>
    <w:p w:rsidR="00E15D0B" w:rsidRDefault="00E15D0B" w:rsidP="006C231E">
      <w:pPr>
        <w:numPr>
          <w:ilvl w:val="0"/>
          <w:numId w:val="9"/>
        </w:numPr>
        <w:tabs>
          <w:tab w:val="clear" w:pos="720"/>
        </w:tabs>
        <w:spacing w:before="120" w:after="120" w:line="320" w:lineRule="exact"/>
        <w:ind w:left="284" w:hanging="284"/>
        <w:jc w:val="both"/>
      </w:pPr>
      <w:r>
        <w:t>611,000 (14%) of the population is aged 65+ currently.  By 2051, 1.3 million (24%) will be aged 65+.</w:t>
      </w:r>
    </w:p>
    <w:p w:rsidR="00E15D0B" w:rsidRDefault="00E15D0B" w:rsidP="006C231E">
      <w:pPr>
        <w:numPr>
          <w:ilvl w:val="0"/>
          <w:numId w:val="9"/>
        </w:numPr>
        <w:tabs>
          <w:tab w:val="clear" w:pos="720"/>
        </w:tabs>
        <w:spacing w:before="120" w:after="120" w:line="320" w:lineRule="exact"/>
        <w:ind w:left="284" w:hanging="284"/>
        <w:jc w:val="both"/>
      </w:pPr>
      <w:r>
        <w:t>76,000 (2%) of the population is aged 85+ years currently.  By 2051, 300,000 (8%) will be aged 85+.</w:t>
      </w:r>
    </w:p>
    <w:p w:rsidR="00E15D0B" w:rsidRDefault="00E15D0B" w:rsidP="006C231E">
      <w:pPr>
        <w:numPr>
          <w:ilvl w:val="0"/>
          <w:numId w:val="9"/>
        </w:numPr>
        <w:tabs>
          <w:tab w:val="clear" w:pos="720"/>
        </w:tabs>
        <w:spacing w:before="120" w:after="120" w:line="320" w:lineRule="exact"/>
        <w:ind w:left="284" w:hanging="284"/>
        <w:jc w:val="both"/>
      </w:pPr>
      <w:r>
        <w:t>117,000 (18%) of people aged 65+ are in the workforce currently.</w:t>
      </w:r>
    </w:p>
    <w:p w:rsidR="003F47F3" w:rsidRDefault="00E15D0B" w:rsidP="006C231E">
      <w:pPr>
        <w:numPr>
          <w:ilvl w:val="0"/>
          <w:numId w:val="9"/>
        </w:numPr>
        <w:tabs>
          <w:tab w:val="clear" w:pos="720"/>
        </w:tabs>
        <w:spacing w:before="120" w:after="120" w:line="320" w:lineRule="exact"/>
        <w:ind w:left="284" w:hanging="284"/>
        <w:jc w:val="both"/>
      </w:pPr>
      <w:r>
        <w:t>The size of the population under 65 years of age is expected to remain constant.</w:t>
      </w:r>
      <w:r w:rsidR="003B0C5B">
        <w:t xml:space="preserve"> (Statistics </w:t>
      </w:r>
      <w:r>
        <w:t>NZ)</w:t>
      </w:r>
    </w:p>
    <w:p w:rsidR="00E15D0B" w:rsidRDefault="00E15D0B" w:rsidP="00E15D0B">
      <w:pPr>
        <w:pStyle w:val="BodyText"/>
        <w:ind w:left="0"/>
      </w:pPr>
      <w:r>
        <w:t>Figures 1 &amp; 1A: Age-Sex Structure, New Zealand 2011 and 2031</w:t>
      </w:r>
    </w:p>
    <w:p w:rsidR="00E15D0B" w:rsidRDefault="00E15D0B" w:rsidP="00E15D0B">
      <w:pPr>
        <w:pStyle w:val="BodyText"/>
        <w:tabs>
          <w:tab w:val="left" w:pos="4820"/>
        </w:tabs>
        <w:ind w:left="0"/>
      </w:pPr>
      <w:r>
        <w:rPr>
          <w:noProof/>
          <w:lang w:val="en-US"/>
        </w:rPr>
        <w:drawing>
          <wp:inline distT="0" distB="0" distL="0" distR="0" wp14:anchorId="48FB7F02" wp14:editId="73444B96">
            <wp:extent cx="2781300" cy="277094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83668" cy="2773302"/>
                    </a:xfrm>
                    <a:prstGeom prst="rect">
                      <a:avLst/>
                    </a:prstGeom>
                    <a:noFill/>
                  </pic:spPr>
                </pic:pic>
              </a:graphicData>
            </a:graphic>
          </wp:inline>
        </w:drawing>
      </w:r>
      <w:r>
        <w:tab/>
      </w:r>
      <w:r>
        <w:rPr>
          <w:noProof/>
          <w:lang w:val="en-US"/>
        </w:rPr>
        <w:drawing>
          <wp:inline distT="0" distB="0" distL="0" distR="0" wp14:anchorId="1E14ADDC" wp14:editId="1A5E87D9">
            <wp:extent cx="2573600" cy="28003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73600" cy="2800350"/>
                    </a:xfrm>
                    <a:prstGeom prst="rect">
                      <a:avLst/>
                    </a:prstGeom>
                    <a:noFill/>
                  </pic:spPr>
                </pic:pic>
              </a:graphicData>
            </a:graphic>
          </wp:inline>
        </w:drawing>
      </w:r>
    </w:p>
    <w:p w:rsidR="00A72D50" w:rsidRPr="00CB6C87" w:rsidRDefault="00E15D0B" w:rsidP="00E15D0B">
      <w:pPr>
        <w:pStyle w:val="BodyText"/>
        <w:ind w:left="0"/>
        <w:rPr>
          <w:i/>
          <w:sz w:val="16"/>
          <w:szCs w:val="16"/>
        </w:rPr>
      </w:pPr>
      <w:r>
        <w:rPr>
          <w:i/>
          <w:sz w:val="16"/>
          <w:szCs w:val="16"/>
        </w:rPr>
        <w:t>Source: Statistics New Zealand, Estimated sub-national population 2011</w:t>
      </w:r>
    </w:p>
    <w:p w:rsidR="00E15D0B" w:rsidRDefault="00E15D0B" w:rsidP="00E15D0B">
      <w:pPr>
        <w:pStyle w:val="BodyText"/>
        <w:ind w:left="0"/>
        <w:rPr>
          <w:noProof/>
          <w:lang w:eastAsia="en-NZ"/>
        </w:rPr>
      </w:pPr>
      <w:r>
        <w:rPr>
          <w:noProof/>
          <w:lang w:eastAsia="en-NZ"/>
        </w:rPr>
        <w:t xml:space="preserve">Figures 2 and 2A: Age-Sex Structure, </w:t>
      </w:r>
      <w:r w:rsidR="00377C67">
        <w:rPr>
          <w:noProof/>
          <w:lang w:eastAsia="en-NZ"/>
        </w:rPr>
        <w:t>Māori</w:t>
      </w:r>
      <w:r>
        <w:rPr>
          <w:noProof/>
          <w:lang w:eastAsia="en-NZ"/>
        </w:rPr>
        <w:t xml:space="preserve"> 2011 and 2021</w:t>
      </w:r>
    </w:p>
    <w:p w:rsidR="00E15D0B" w:rsidRDefault="00E15D0B" w:rsidP="001326C3">
      <w:pPr>
        <w:pStyle w:val="BodyText"/>
        <w:tabs>
          <w:tab w:val="left" w:pos="4820"/>
        </w:tabs>
        <w:ind w:left="0"/>
        <w:rPr>
          <w:noProof/>
          <w:lang w:eastAsia="en-NZ"/>
        </w:rPr>
      </w:pPr>
      <w:r>
        <w:rPr>
          <w:noProof/>
          <w:lang w:val="en-US"/>
        </w:rPr>
        <w:drawing>
          <wp:inline distT="0" distB="0" distL="0" distR="0" wp14:anchorId="378E48C7" wp14:editId="688AD5EE">
            <wp:extent cx="2676525" cy="2819400"/>
            <wp:effectExtent l="0" t="0" r="9525" b="19050"/>
            <wp:docPr id="88" name="Chart 8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1326C3">
        <w:rPr>
          <w:noProof/>
          <w:lang w:eastAsia="en-NZ"/>
        </w:rPr>
        <w:tab/>
      </w:r>
      <w:r w:rsidR="003F47F3" w:rsidRPr="003F47F3">
        <w:rPr>
          <w:noProof/>
          <w:lang w:eastAsia="en-NZ"/>
        </w:rPr>
        <w:t xml:space="preserve"> </w:t>
      </w:r>
      <w:r w:rsidR="001326C3">
        <w:rPr>
          <w:noProof/>
          <w:lang w:val="en-US"/>
        </w:rPr>
        <w:drawing>
          <wp:inline distT="0" distB="0" distL="0" distR="0" wp14:anchorId="313DEAEC" wp14:editId="2F6A22F2">
            <wp:extent cx="2600325" cy="2819400"/>
            <wp:effectExtent l="0" t="0" r="9525" b="19050"/>
            <wp:docPr id="85" name="Chart 8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15D0B" w:rsidRDefault="000A7E65" w:rsidP="00E15D0B">
      <w:pPr>
        <w:pStyle w:val="BodyText"/>
        <w:ind w:left="0"/>
        <w:rPr>
          <w:i/>
          <w:sz w:val="16"/>
          <w:szCs w:val="16"/>
        </w:rPr>
      </w:pPr>
      <w:r>
        <w:rPr>
          <w:i/>
          <w:sz w:val="16"/>
          <w:szCs w:val="16"/>
        </w:rPr>
        <w:t>Source: Statistics New Zealand, Estimated sub-national population 2011</w:t>
      </w:r>
    </w:p>
    <w:p w:rsidR="00E15D0B" w:rsidRDefault="00E15D0B" w:rsidP="00E15D0B">
      <w:pPr>
        <w:pStyle w:val="BodyText"/>
        <w:spacing w:line="320" w:lineRule="exact"/>
        <w:ind w:left="0"/>
        <w:jc w:val="both"/>
      </w:pPr>
      <w:r>
        <w:t xml:space="preserve">Figures 1 and 1A show the demographic structure of the total New Zealand population. In contrast, figures 2 and 2A show the demographic structure of the total </w:t>
      </w:r>
      <w:r w:rsidR="00377C67">
        <w:t>Māori</w:t>
      </w:r>
      <w:r>
        <w:t xml:space="preserve"> population.  It can be observed that there is a clear difference in fertility and longevity.  Figure 1 shows the current projected population structure based on</w:t>
      </w:r>
      <w:r w:rsidR="00D665A3">
        <w:t xml:space="preserve"> the</w:t>
      </w:r>
      <w:r>
        <w:t xml:space="preserve"> 2006 census.  It shows clearly the bulge of the baby boomer cohort born in 1945 to 1965 and the 1991 baby blip.  Figure 1A projections show the ageing of these cohorts over time.  The graphs show the male/female differences indicating the longevity of women in New Zealand.  </w:t>
      </w:r>
    </w:p>
    <w:p w:rsidR="00E15D0B" w:rsidRDefault="00E15D0B" w:rsidP="00E15D0B">
      <w:pPr>
        <w:pStyle w:val="BodyText"/>
        <w:spacing w:line="320" w:lineRule="exact"/>
        <w:ind w:left="0"/>
        <w:jc w:val="both"/>
      </w:pPr>
      <w:r>
        <w:t xml:space="preserve">Figure 2 shows a significant contrast with </w:t>
      </w:r>
      <w:r w:rsidR="00D665A3">
        <w:t xml:space="preserve">the </w:t>
      </w:r>
      <w:r>
        <w:t xml:space="preserve">overall New Zealand pattern.  The graphs show the </w:t>
      </w:r>
      <w:r w:rsidR="00377C67">
        <w:t>Māori</w:t>
      </w:r>
      <w:r>
        <w:t xml:space="preserve"> population structure with premature deaths, increasing fertility or high birth rate, and low incremental change in life expectancy.</w:t>
      </w:r>
    </w:p>
    <w:p w:rsidR="00E15D0B" w:rsidRDefault="00E15D0B" w:rsidP="00E15D0B">
      <w:pPr>
        <w:spacing w:line="320" w:lineRule="exact"/>
        <w:jc w:val="both"/>
        <w:rPr>
          <w:lang w:val="en-GB"/>
        </w:rPr>
      </w:pPr>
      <w:r>
        <w:rPr>
          <w:lang w:val="en-GB"/>
        </w:rPr>
        <w:t xml:space="preserve">New Zealand’s population will continue to grow because of the increasing </w:t>
      </w:r>
      <w:r w:rsidR="00377C67">
        <w:rPr>
          <w:lang w:val="en-GB"/>
        </w:rPr>
        <w:t>Māori</w:t>
      </w:r>
      <w:r>
        <w:rPr>
          <w:lang w:val="en-GB"/>
        </w:rPr>
        <w:t xml:space="preserve"> and Pacifica birth rate, with projected growth of 13% out to 2026.  A 61% increase in the 65+ population is projected while all other age groups combined will grow by only 5.4%.</w:t>
      </w:r>
      <w:r>
        <w:rPr>
          <w:rStyle w:val="FootnoteReference"/>
          <w:lang w:val="en-GB"/>
        </w:rPr>
        <w:footnoteReference w:id="7"/>
      </w:r>
      <w:r>
        <w:rPr>
          <w:lang w:val="en-GB"/>
        </w:rPr>
        <w:t xml:space="preserve"> </w:t>
      </w:r>
      <w:r w:rsidRPr="0057406B">
        <w:rPr>
          <w:lang w:val="en-GB"/>
        </w:rPr>
        <w:t>While population growth may appear to continue, a population that has more elderly than children and/or has lost its reproductive base (15 – 49 years) cannot sustain that growth for long, such that migration will increasingly maintain, rather than increase, population size.</w:t>
      </w:r>
      <w:r w:rsidRPr="0057406B">
        <w:rPr>
          <w:rStyle w:val="FootnoteReference"/>
          <w:lang w:val="en-GB"/>
        </w:rPr>
        <w:footnoteReference w:id="8"/>
      </w:r>
      <w:r>
        <w:rPr>
          <w:lang w:val="en-GB"/>
        </w:rPr>
        <w:t xml:space="preserve">  </w:t>
      </w:r>
    </w:p>
    <w:p w:rsidR="00E15D0B" w:rsidRDefault="00E15D0B" w:rsidP="00E15D0B">
      <w:pPr>
        <w:pStyle w:val="BodyText"/>
        <w:spacing w:line="320" w:lineRule="exact"/>
        <w:ind w:left="0"/>
      </w:pPr>
      <w:r>
        <w:t>New Zealand’s ageing population has two main drivers: increasing longevity, and declining birth rates.</w:t>
      </w:r>
      <w:r w:rsidR="00A72D50">
        <w:rPr>
          <w:rStyle w:val="FootnoteReference"/>
        </w:rPr>
        <w:footnoteReference w:id="9"/>
      </w:r>
      <w:r>
        <w:t xml:space="preserve"> </w:t>
      </w:r>
      <w:r w:rsidRPr="00DA41BC">
        <w:t xml:space="preserve"> The median age has now risen to 37 years</w:t>
      </w:r>
      <w:r>
        <w:t xml:space="preserve"> and will rise rapidly over the next 20 years.</w:t>
      </w:r>
    </w:p>
    <w:p w:rsidR="00D665A3" w:rsidRDefault="00E15D0B" w:rsidP="00D665A3">
      <w:pPr>
        <w:spacing w:before="120" w:after="120" w:line="320" w:lineRule="exact"/>
        <w:jc w:val="both"/>
      </w:pPr>
      <w:r>
        <w:rPr>
          <w:lang w:val="en-GB"/>
        </w:rPr>
        <w:t>What this means is that ‘structural crossover’</w:t>
      </w:r>
      <w:r>
        <w:rPr>
          <w:rStyle w:val="FootnoteReference"/>
          <w:lang w:val="en-GB"/>
        </w:rPr>
        <w:footnoteReference w:id="10"/>
      </w:r>
      <w:r>
        <w:rPr>
          <w:lang w:val="en-GB"/>
        </w:rPr>
        <w:t xml:space="preserve"> or the dependency ratio of the population will occur in approximately 12 years time (</w:t>
      </w:r>
      <w:r w:rsidRPr="00F84135">
        <w:rPr>
          <w:lang w:val="en-GB"/>
        </w:rPr>
        <w:t xml:space="preserve">see Figure </w:t>
      </w:r>
      <w:r w:rsidR="00F84135" w:rsidRPr="00F84135">
        <w:rPr>
          <w:lang w:val="en-GB"/>
        </w:rPr>
        <w:t>8</w:t>
      </w:r>
      <w:r w:rsidRPr="00F84135">
        <w:rPr>
          <w:lang w:val="en-GB"/>
        </w:rPr>
        <w:t>)</w:t>
      </w:r>
      <w:r>
        <w:rPr>
          <w:lang w:val="en-GB"/>
        </w:rPr>
        <w:t>.  It is driven by the ageing of the New Zealand baby boomer generation.  The effect of population ageing can be described in terms of structural and numerical demographic change.  Structural ageing refers to the increase in the proportion of the population that is old and is primarily caused by declining birth rates which decrease the proportion of the population that is young.</w:t>
      </w:r>
      <w:r w:rsidRPr="0051128B">
        <w:rPr>
          <w:lang w:val="en-GB"/>
        </w:rPr>
        <w:t xml:space="preserve"> </w:t>
      </w:r>
      <w:r>
        <w:rPr>
          <w:lang w:val="en-GB"/>
        </w:rPr>
        <w:t xml:space="preserve"> </w:t>
      </w:r>
      <w:r>
        <w:t>Numerical ageing is defined as the absolute increase in the numbers of 65+ due primarily to improvements in life expectancy and longevity.  The numbers of 65+ year olds will double as a conservative estimate from 586,000 in 2011 to just on 1.2 million by 2036.</w:t>
      </w:r>
      <w:r>
        <w:rPr>
          <w:rStyle w:val="FootnoteReference"/>
        </w:rPr>
        <w:footnoteReference w:id="11"/>
      </w:r>
      <w:r>
        <w:t xml:space="preserve">  </w:t>
      </w:r>
    </w:p>
    <w:p w:rsidR="00E15D0B" w:rsidRPr="00D665A3" w:rsidRDefault="00E15D0B" w:rsidP="00D665A3">
      <w:pPr>
        <w:spacing w:before="120" w:after="120" w:line="320" w:lineRule="exact"/>
        <w:jc w:val="both"/>
        <w:rPr>
          <w:lang w:val="en-GB"/>
        </w:rPr>
      </w:pPr>
      <w:r>
        <w:t xml:space="preserve">International research shows that longevity is increasing at a rate equal to 5 </w:t>
      </w:r>
      <w:r>
        <w:rPr>
          <w:rFonts w:cs="Georgia"/>
          <w:szCs w:val="30"/>
        </w:rPr>
        <w:t>weeks more living per year.</w:t>
      </w:r>
      <w:r w:rsidRPr="004F15CA">
        <w:rPr>
          <w:rFonts w:cs="Georgia"/>
          <w:szCs w:val="30"/>
        </w:rPr>
        <w:t xml:space="preserve"> </w:t>
      </w:r>
      <w:r>
        <w:t>This improvement in life expectancy is a result of improved living conditions and health care.  The longer life of baby boomers is expected to be of high quality: healthy and active.</w:t>
      </w:r>
      <w:r w:rsidRPr="009F6840">
        <w:t xml:space="preserve"> </w:t>
      </w:r>
      <w:r>
        <w:t xml:space="preserve">Many New Zealanders can continue to contribute and can remain self-reliant for longer in ageing-in-place environments, pushing serious debilitation until the very end of life.  </w:t>
      </w:r>
    </w:p>
    <w:p w:rsidR="00E15D0B" w:rsidRDefault="00E15D0B" w:rsidP="00E15D0B">
      <w:pPr>
        <w:spacing w:before="120" w:after="120" w:line="320" w:lineRule="exact"/>
        <w:jc w:val="both"/>
        <w:rPr>
          <w:lang w:val="en-GB"/>
        </w:rPr>
      </w:pPr>
      <w:r>
        <w:rPr>
          <w:lang w:val="en-GB"/>
        </w:rPr>
        <w:t>As the boomer generation ages the loss of this population cohort from the workforce will result in a reduced labour force, with increasing global competition for workers.  Leading international organisations, New Zealand Treasury, New Zealand researchers including demographer Jackson, acknowledge the importance of population ageing as a national public policy issue and driver for local government decision making.</w:t>
      </w:r>
      <w:r>
        <w:rPr>
          <w:rStyle w:val="FootnoteReference"/>
          <w:lang w:val="en-GB"/>
        </w:rPr>
        <w:footnoteReference w:id="12"/>
      </w:r>
      <w:r>
        <w:rPr>
          <w:lang w:val="en-GB"/>
        </w:rPr>
        <w:t xml:space="preserve">  </w:t>
      </w:r>
    </w:p>
    <w:p w:rsidR="00615AAF" w:rsidRPr="00615AAF" w:rsidRDefault="00E15D0B" w:rsidP="00615AAF">
      <w:pPr>
        <w:spacing w:before="120" w:after="120" w:line="320" w:lineRule="exact"/>
        <w:jc w:val="both"/>
        <w:rPr>
          <w:i/>
        </w:rPr>
      </w:pPr>
      <w:r>
        <w:t>It will also become increasingly important as the age mix shifts upward to recognise the impact on the economy, labour force availability, health care, housing and social services.  Public policy will also be impacted by the diversity of the older 85+ group from other age cohorts with differences in physical capabilities, cognitive skills, health service demand and financial resources</w:t>
      </w:r>
      <w:r w:rsidR="00D13E09">
        <w:rPr>
          <w:rStyle w:val="FootnoteReference"/>
        </w:rPr>
        <w:footnoteReference w:id="13"/>
      </w:r>
      <w:r>
        <w:t>.</w:t>
      </w:r>
      <w:r w:rsidR="00615AAF">
        <w:t xml:space="preserve"> The Bay of Plenty District Health Board notes that </w:t>
      </w:r>
      <w:r w:rsidR="00615AAF" w:rsidRPr="00615AAF">
        <w:t>“</w:t>
      </w:r>
      <w:r w:rsidR="00CB6C87">
        <w:rPr>
          <w:i/>
        </w:rPr>
        <w:t>o</w:t>
      </w:r>
      <w:r w:rsidR="00615AAF" w:rsidRPr="00615AAF">
        <w:rPr>
          <w:i/>
        </w:rPr>
        <w:t>ur ageing population has obvious and serious implications for health services in t</w:t>
      </w:r>
      <w:r w:rsidR="00531BC1">
        <w:rPr>
          <w:i/>
        </w:rPr>
        <w:t xml:space="preserve">he future. </w:t>
      </w:r>
      <w:r w:rsidR="00615AAF" w:rsidRPr="00615AAF">
        <w:rPr>
          <w:i/>
        </w:rPr>
        <w:t xml:space="preserve"> Of particular importance is the estimated number of people aged over 80 that </w:t>
      </w:r>
      <w:r w:rsidR="00136A1C" w:rsidRPr="00615AAF">
        <w:rPr>
          <w:i/>
        </w:rPr>
        <w:t>are</w:t>
      </w:r>
      <w:r w:rsidR="00615AAF" w:rsidRPr="00615AAF">
        <w:rPr>
          <w:i/>
        </w:rPr>
        <w:t xml:space="preserve"> predicted to grow at a rate of approximately 7% per annum, from less than 3,000 in 2006 to 35,000 in 2050</w:t>
      </w:r>
      <w:r w:rsidR="00531BC1">
        <w:rPr>
          <w:i/>
        </w:rPr>
        <w:t>.”</w:t>
      </w:r>
      <w:r w:rsidR="00615AAF" w:rsidRPr="00615AAF">
        <w:rPr>
          <w:i/>
        </w:rPr>
        <w:t xml:space="preserve"> </w:t>
      </w:r>
      <w:r w:rsidR="00615AAF" w:rsidRPr="00615AAF">
        <w:rPr>
          <w:rStyle w:val="FootnoteReference"/>
          <w:i/>
        </w:rPr>
        <w:footnoteReference w:id="14"/>
      </w:r>
    </w:p>
    <w:p w:rsidR="00E15D0B" w:rsidRDefault="00E15D0B" w:rsidP="00E15D0B">
      <w:pPr>
        <w:pStyle w:val="BodyText"/>
        <w:spacing w:line="320" w:lineRule="exact"/>
        <w:ind w:left="0"/>
        <w:jc w:val="both"/>
      </w:pPr>
      <w:r>
        <w:t>A demographic analysis of New Zealand regions shows marked diversity in terms of population ageing with the</w:t>
      </w:r>
      <w:r w:rsidR="00D665A3">
        <w:t xml:space="preserve"> Western Bay of Plenty</w:t>
      </w:r>
      <w:r>
        <w:t xml:space="preserve"> sub-region recognised as having a significantly higher number of people 65+ living in communities.  People will continue to retire to “sunshine” areas in New Zealand that have a high level of recreational and cultural opportunities together with health and specialist medical services (for example, Western Bay of Plenty, the Kapiti Coast, and Nelson).</w:t>
      </w:r>
    </w:p>
    <w:p w:rsidR="00D13E09" w:rsidRDefault="00D13E09" w:rsidP="00E15D0B">
      <w:pPr>
        <w:pStyle w:val="BodyText"/>
        <w:spacing w:line="320" w:lineRule="exact"/>
        <w:ind w:left="0"/>
        <w:jc w:val="both"/>
      </w:pPr>
    </w:p>
    <w:p w:rsidR="00D13E09" w:rsidRPr="00A52B3E" w:rsidRDefault="00CB6C87" w:rsidP="00D13E09">
      <w:pPr>
        <w:pStyle w:val="Heading2"/>
        <w:rPr>
          <w:u w:val="none"/>
          <w:lang w:val="en-GB"/>
        </w:rPr>
      </w:pPr>
      <w:bookmarkStart w:id="14" w:name="_Toc336863653"/>
      <w:bookmarkStart w:id="15" w:name="_Toc340245225"/>
      <w:r w:rsidRPr="00A52B3E">
        <w:rPr>
          <w:u w:val="none"/>
          <w:lang w:val="en-GB"/>
        </w:rPr>
        <w:t>Th</w:t>
      </w:r>
      <w:r w:rsidR="00E15D0B" w:rsidRPr="00A52B3E">
        <w:rPr>
          <w:u w:val="none"/>
          <w:lang w:val="en-GB"/>
        </w:rPr>
        <w:t>e sub-regional context</w:t>
      </w:r>
      <w:bookmarkEnd w:id="14"/>
      <w:bookmarkEnd w:id="15"/>
    </w:p>
    <w:p w:rsidR="00D13E09" w:rsidRDefault="00D13E09" w:rsidP="00E15D0B">
      <w:pPr>
        <w:pStyle w:val="BodyText"/>
        <w:ind w:left="0"/>
      </w:pPr>
    </w:p>
    <w:p w:rsidR="00E15D0B" w:rsidRDefault="00E15D0B" w:rsidP="00E15D0B">
      <w:pPr>
        <w:pStyle w:val="BodyText"/>
        <w:ind w:left="0"/>
      </w:pPr>
      <w:r>
        <w:t>Figure 3 &amp; 3A: Age-Sex Structure, Western Bay of Plenty Sub-region 2011 and 2031</w:t>
      </w:r>
    </w:p>
    <w:p w:rsidR="00E15D0B" w:rsidRDefault="00E15D0B" w:rsidP="00E15D0B">
      <w:pPr>
        <w:pStyle w:val="BodyText"/>
        <w:tabs>
          <w:tab w:val="left" w:pos="4820"/>
        </w:tabs>
        <w:ind w:left="0"/>
      </w:pPr>
      <w:r>
        <w:rPr>
          <w:noProof/>
          <w:lang w:val="en-US"/>
        </w:rPr>
        <w:drawing>
          <wp:inline distT="0" distB="0" distL="0" distR="0" wp14:anchorId="15CB7522" wp14:editId="39595D50">
            <wp:extent cx="2859672" cy="28384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62339" cy="2841097"/>
                    </a:xfrm>
                    <a:prstGeom prst="rect">
                      <a:avLst/>
                    </a:prstGeom>
                    <a:noFill/>
                  </pic:spPr>
                </pic:pic>
              </a:graphicData>
            </a:graphic>
          </wp:inline>
        </w:drawing>
      </w:r>
      <w:r>
        <w:tab/>
      </w:r>
      <w:r>
        <w:rPr>
          <w:noProof/>
          <w:lang w:val="en-US"/>
        </w:rPr>
        <w:drawing>
          <wp:inline distT="0" distB="0" distL="0" distR="0" wp14:anchorId="345D963D" wp14:editId="05596347">
            <wp:extent cx="2628900" cy="284235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28900" cy="2842358"/>
                    </a:xfrm>
                    <a:prstGeom prst="rect">
                      <a:avLst/>
                    </a:prstGeom>
                    <a:noFill/>
                  </pic:spPr>
                </pic:pic>
              </a:graphicData>
            </a:graphic>
          </wp:inline>
        </w:drawing>
      </w:r>
    </w:p>
    <w:p w:rsidR="00E15D0B" w:rsidRPr="00E15D0B" w:rsidRDefault="00E15D0B" w:rsidP="00E15D0B">
      <w:pPr>
        <w:pStyle w:val="BodyText"/>
        <w:ind w:left="0"/>
        <w:rPr>
          <w:i/>
          <w:sz w:val="16"/>
          <w:szCs w:val="16"/>
        </w:rPr>
      </w:pPr>
      <w:r>
        <w:rPr>
          <w:i/>
          <w:sz w:val="16"/>
          <w:szCs w:val="16"/>
        </w:rPr>
        <w:t>Source: Statistics New Zealand, Estimated sub-national population 2011</w:t>
      </w:r>
    </w:p>
    <w:p w:rsidR="00E15D0B" w:rsidRDefault="00D13E09" w:rsidP="00E15D0B">
      <w:pPr>
        <w:pStyle w:val="BodyText"/>
        <w:spacing w:line="320" w:lineRule="exact"/>
        <w:ind w:left="0"/>
        <w:jc w:val="both"/>
      </w:pPr>
      <w:r>
        <w:t>The profiles above and below</w:t>
      </w:r>
      <w:r w:rsidR="00E15D0B">
        <w:t xml:space="preserve"> show the age-sex structure firstly</w:t>
      </w:r>
      <w:r>
        <w:t xml:space="preserve"> as a combined position</w:t>
      </w:r>
      <w:r w:rsidR="00E15D0B">
        <w:t xml:space="preserve"> for the Western Bay of Plenty </w:t>
      </w:r>
      <w:r>
        <w:t>sub-region</w:t>
      </w:r>
      <w:r w:rsidR="00E15D0B">
        <w:t xml:space="preserve">, secondly for </w:t>
      </w:r>
      <w:r>
        <w:t>Western Bay of Plenty District</w:t>
      </w:r>
      <w:r w:rsidR="00E15D0B">
        <w:t xml:space="preserve"> and finally, </w:t>
      </w:r>
      <w:r>
        <w:t>for Tauranga City</w:t>
      </w:r>
      <w:r w:rsidR="00E15D0B">
        <w:t>.</w:t>
      </w:r>
    </w:p>
    <w:p w:rsidR="00DA7967" w:rsidRDefault="00E15D0B" w:rsidP="009B367B">
      <w:pPr>
        <w:pStyle w:val="BodyText"/>
        <w:spacing w:line="320" w:lineRule="exact"/>
        <w:ind w:left="0"/>
        <w:jc w:val="both"/>
      </w:pPr>
      <w:r>
        <w:t xml:space="preserve">The reality is that the sub-region reflects an older profile and similar structure to total New Zealand.  Figure 3 shows the number of 40+ people who will age in the sub-region driven by the boom cohort and choice to live in the sub-region in mid and later life.  The structure of the population shows a period of decline in the birth rate and current birth rate increase.  Figure 3A shows evidence of increased ageing in the sub-region, </w:t>
      </w:r>
      <w:r w:rsidR="00D665A3">
        <w:t xml:space="preserve">driven </w:t>
      </w:r>
      <w:r>
        <w:t>notably</w:t>
      </w:r>
      <w:r w:rsidR="00D665A3">
        <w:t xml:space="preserve"> by</w:t>
      </w:r>
      <w:r>
        <w:t xml:space="preserve"> the survivorship of women</w:t>
      </w:r>
      <w:r w:rsidR="00D665A3">
        <w:t xml:space="preserve"> which is</w:t>
      </w:r>
      <w:r>
        <w:t xml:space="preserve"> consistent with national and international trends.   </w:t>
      </w:r>
    </w:p>
    <w:p w:rsidR="00E15D0B" w:rsidRPr="007D042B" w:rsidRDefault="00E15D0B" w:rsidP="00D665A3">
      <w:pPr>
        <w:spacing w:before="120" w:after="120" w:line="320" w:lineRule="exact"/>
      </w:pPr>
      <w:r>
        <w:t>Figures 4 and 4A: Age-sex Structure, Western Bay of Plenty District Council 2011and 2031</w:t>
      </w:r>
    </w:p>
    <w:p w:rsidR="00E15D0B" w:rsidRPr="007D042B" w:rsidRDefault="00E15D0B" w:rsidP="00E15D0B">
      <w:pPr>
        <w:pStyle w:val="BodyText"/>
        <w:tabs>
          <w:tab w:val="left" w:pos="4820"/>
        </w:tabs>
        <w:ind w:left="0"/>
        <w:rPr>
          <w:i/>
          <w:sz w:val="16"/>
          <w:szCs w:val="16"/>
        </w:rPr>
      </w:pPr>
      <w:r>
        <w:rPr>
          <w:i/>
          <w:noProof/>
          <w:sz w:val="16"/>
          <w:szCs w:val="16"/>
          <w:lang w:val="en-US"/>
        </w:rPr>
        <w:drawing>
          <wp:inline distT="0" distB="0" distL="0" distR="0" wp14:anchorId="51424859" wp14:editId="76DE68F4">
            <wp:extent cx="2828925" cy="2818409"/>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28925" cy="2818409"/>
                    </a:xfrm>
                    <a:prstGeom prst="rect">
                      <a:avLst/>
                    </a:prstGeom>
                    <a:noFill/>
                  </pic:spPr>
                </pic:pic>
              </a:graphicData>
            </a:graphic>
          </wp:inline>
        </w:drawing>
      </w:r>
      <w:r>
        <w:rPr>
          <w:i/>
          <w:sz w:val="16"/>
          <w:szCs w:val="16"/>
        </w:rPr>
        <w:tab/>
      </w:r>
      <w:r>
        <w:rPr>
          <w:i/>
          <w:noProof/>
          <w:sz w:val="16"/>
          <w:szCs w:val="16"/>
          <w:lang w:val="en-US"/>
        </w:rPr>
        <w:drawing>
          <wp:inline distT="0" distB="0" distL="0" distR="0" wp14:anchorId="4D6D44B0" wp14:editId="73F0EAED">
            <wp:extent cx="2628900" cy="282762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28900" cy="2827627"/>
                    </a:xfrm>
                    <a:prstGeom prst="rect">
                      <a:avLst/>
                    </a:prstGeom>
                    <a:noFill/>
                  </pic:spPr>
                </pic:pic>
              </a:graphicData>
            </a:graphic>
          </wp:inline>
        </w:drawing>
      </w:r>
    </w:p>
    <w:p w:rsidR="00D665A3" w:rsidRPr="003B0C5B" w:rsidRDefault="00E15D0B" w:rsidP="003B0C5B">
      <w:pPr>
        <w:pStyle w:val="BodyText"/>
        <w:tabs>
          <w:tab w:val="left" w:pos="5910"/>
        </w:tabs>
        <w:ind w:left="0"/>
        <w:rPr>
          <w:i/>
          <w:sz w:val="16"/>
          <w:szCs w:val="16"/>
        </w:rPr>
      </w:pPr>
      <w:r>
        <w:rPr>
          <w:i/>
          <w:sz w:val="16"/>
          <w:szCs w:val="16"/>
        </w:rPr>
        <w:t>Source: Statistics New Zealand, Estima</w:t>
      </w:r>
      <w:r w:rsidR="003B0C5B">
        <w:rPr>
          <w:i/>
          <w:sz w:val="16"/>
          <w:szCs w:val="16"/>
        </w:rPr>
        <w:t>ted sub-national population 2011</w:t>
      </w:r>
    </w:p>
    <w:p w:rsidR="00E15D0B" w:rsidRPr="007D042B" w:rsidRDefault="00E15D0B" w:rsidP="00E15D0B">
      <w:r>
        <w:t>Figures 5 and 5A: Age-Sex Structure, Tauranga City Council, 2011 and 2031</w:t>
      </w:r>
    </w:p>
    <w:p w:rsidR="00E15D0B" w:rsidRDefault="00E15D0B" w:rsidP="00E15D0B">
      <w:pPr>
        <w:pStyle w:val="BodyText"/>
        <w:tabs>
          <w:tab w:val="left" w:pos="4820"/>
        </w:tabs>
        <w:ind w:left="0"/>
      </w:pPr>
      <w:r>
        <w:rPr>
          <w:noProof/>
          <w:lang w:val="en-US"/>
        </w:rPr>
        <w:drawing>
          <wp:inline distT="0" distB="0" distL="0" distR="0" wp14:anchorId="7C7181E0" wp14:editId="29907147">
            <wp:extent cx="2828925" cy="280263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28925" cy="2802635"/>
                    </a:xfrm>
                    <a:prstGeom prst="rect">
                      <a:avLst/>
                    </a:prstGeom>
                    <a:noFill/>
                  </pic:spPr>
                </pic:pic>
              </a:graphicData>
            </a:graphic>
          </wp:inline>
        </w:drawing>
      </w:r>
      <w:r>
        <w:tab/>
      </w:r>
      <w:r>
        <w:rPr>
          <w:noProof/>
          <w:lang w:val="en-US"/>
        </w:rPr>
        <w:drawing>
          <wp:inline distT="0" distB="0" distL="0" distR="0" wp14:anchorId="255670DC" wp14:editId="00346704">
            <wp:extent cx="2578377" cy="28194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78377" cy="2819400"/>
                    </a:xfrm>
                    <a:prstGeom prst="rect">
                      <a:avLst/>
                    </a:prstGeom>
                    <a:noFill/>
                  </pic:spPr>
                </pic:pic>
              </a:graphicData>
            </a:graphic>
          </wp:inline>
        </w:drawing>
      </w:r>
    </w:p>
    <w:p w:rsidR="00E15D0B" w:rsidRPr="00E15D0B" w:rsidRDefault="00E15D0B" w:rsidP="00E15D0B">
      <w:pPr>
        <w:pStyle w:val="BodyText"/>
        <w:tabs>
          <w:tab w:val="left" w:pos="5910"/>
        </w:tabs>
        <w:ind w:left="0"/>
        <w:rPr>
          <w:i/>
          <w:sz w:val="16"/>
          <w:szCs w:val="16"/>
        </w:rPr>
      </w:pPr>
      <w:r>
        <w:rPr>
          <w:i/>
          <w:sz w:val="16"/>
          <w:szCs w:val="16"/>
        </w:rPr>
        <w:t>Source: Statistics New Zealand, Estimated sub-national population 2011</w:t>
      </w:r>
      <w:r>
        <w:rPr>
          <w:i/>
          <w:sz w:val="16"/>
          <w:szCs w:val="16"/>
        </w:rPr>
        <w:tab/>
      </w:r>
    </w:p>
    <w:p w:rsidR="00E15D0B" w:rsidRDefault="00705248" w:rsidP="00E15D0B">
      <w:pPr>
        <w:pStyle w:val="BodyText"/>
        <w:spacing w:line="320" w:lineRule="exact"/>
        <w:ind w:left="0"/>
        <w:jc w:val="both"/>
      </w:pPr>
      <w:r>
        <w:t>The profiles for the individual territorial local authorities</w:t>
      </w:r>
      <w:r w:rsidR="00F84135">
        <w:t xml:space="preserve"> show </w:t>
      </w:r>
      <w:r w:rsidR="00E15D0B">
        <w:t xml:space="preserve">distinct </w:t>
      </w:r>
      <w:r>
        <w:t>difference</w:t>
      </w:r>
      <w:r w:rsidR="00F84135">
        <w:t>s</w:t>
      </w:r>
      <w:r w:rsidR="00E15D0B">
        <w:t xml:space="preserve">.  It is clear that WBOPDC is ageing more rapidly.  </w:t>
      </w:r>
      <w:r>
        <w:t>T</w:t>
      </w:r>
      <w:r w:rsidR="00E15D0B">
        <w:t>he district includes naturally occurri</w:t>
      </w:r>
      <w:r w:rsidR="00F84135">
        <w:t>ng retirement communities (NORCS</w:t>
      </w:r>
      <w:r w:rsidR="00E15D0B">
        <w:t>) such as Waihi Beach, Katikati</w:t>
      </w:r>
      <w:r w:rsidR="00DA7967">
        <w:t>, Omokoroa and Maketu.</w:t>
      </w:r>
    </w:p>
    <w:p w:rsidR="00D665A3" w:rsidRDefault="00E15D0B" w:rsidP="00E15D0B">
      <w:pPr>
        <w:pStyle w:val="BodyText"/>
        <w:spacing w:line="320" w:lineRule="exact"/>
        <w:ind w:left="0"/>
        <w:jc w:val="both"/>
      </w:pPr>
      <w:r>
        <w:t xml:space="preserve">An analysis of the structural ageing of the two territorial authorities indicates widely different fertility patterns.  The Tauranga City Council profile shows a baby boom and blip and sustained birth rate which can be largely attributed to </w:t>
      </w:r>
      <w:r w:rsidR="00377C67">
        <w:t>Māori</w:t>
      </w:r>
      <w:r>
        <w:t xml:space="preserve"> fertility.  Conversely, the Western Bay of Plenty District profile shows a baby boom, decline in fertility, blip and continuing decline in the birth rate.  An averaging of these profiles to create the sub-regional profile distorts the complexity of the picture.  </w:t>
      </w:r>
    </w:p>
    <w:p w:rsidR="00D665A3" w:rsidRDefault="008B7623" w:rsidP="00E15D0B">
      <w:pPr>
        <w:pStyle w:val="BodyText"/>
        <w:spacing w:line="320" w:lineRule="exact"/>
        <w:ind w:left="0"/>
        <w:jc w:val="both"/>
      </w:pPr>
      <w:r>
        <w:t xml:space="preserve">For </w:t>
      </w:r>
      <w:r w:rsidR="00377C67">
        <w:t>Māori</w:t>
      </w:r>
      <w:r>
        <w:t xml:space="preserve"> in the Western Bay of Plenty District, the profiles (both for 2011 and 2021) indicate a </w:t>
      </w:r>
      <w:r w:rsidR="00377C67">
        <w:t>Māori</w:t>
      </w:r>
      <w:r>
        <w:t xml:space="preserve"> baby boom that began later than the accepted 1945 to 1964 New Zealand boom</w:t>
      </w:r>
      <w:r w:rsidR="00705248">
        <w:t>, followed by fertility decline and a further baby blip (similar to the 1991 New Zealand baby blip)</w:t>
      </w:r>
      <w:r>
        <w:t>.</w:t>
      </w:r>
      <w:r w:rsidR="00705248">
        <w:t xml:space="preserve">  This is now followed by an increasing birth rate.</w:t>
      </w:r>
    </w:p>
    <w:p w:rsidR="00F84135" w:rsidRDefault="00F84135" w:rsidP="00E15D0B">
      <w:pPr>
        <w:pStyle w:val="BodyText"/>
        <w:spacing w:line="320" w:lineRule="exact"/>
        <w:ind w:left="0"/>
        <w:jc w:val="both"/>
      </w:pPr>
      <w:r>
        <w:t xml:space="preserve">Figures 6 and 6A: Age-Sex Structure, </w:t>
      </w:r>
      <w:r w:rsidR="00136A1C">
        <w:t>Māori</w:t>
      </w:r>
      <w:r>
        <w:t xml:space="preserve"> (WBOPDC) 2011 and 2021</w:t>
      </w:r>
    </w:p>
    <w:p w:rsidR="0050513F" w:rsidRDefault="00710487" w:rsidP="0050513F">
      <w:r>
        <w:rPr>
          <w:noProof/>
          <w:lang w:val="en-US"/>
        </w:rPr>
        <w:drawing>
          <wp:inline distT="0" distB="0" distL="0" distR="0" wp14:anchorId="7560B5AE" wp14:editId="1A26BB04">
            <wp:extent cx="2562225" cy="2647950"/>
            <wp:effectExtent l="0" t="0" r="9525" b="19050"/>
            <wp:docPr id="95" name="Chart 9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sidR="0050513F">
        <w:tab/>
      </w:r>
      <w:r w:rsidR="0050513F">
        <w:rPr>
          <w:noProof/>
          <w:lang w:val="en-US"/>
        </w:rPr>
        <w:drawing>
          <wp:inline distT="0" distB="0" distL="0" distR="0" wp14:anchorId="5AE15268" wp14:editId="11234457">
            <wp:extent cx="2886075" cy="2647950"/>
            <wp:effectExtent l="0" t="0" r="9525" b="19050"/>
            <wp:docPr id="97" name="Chart 97"/>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F84135" w:rsidRPr="00E15D0B" w:rsidRDefault="00F84135" w:rsidP="00F84135">
      <w:pPr>
        <w:pStyle w:val="BodyText"/>
        <w:tabs>
          <w:tab w:val="left" w:pos="5910"/>
        </w:tabs>
        <w:ind w:left="0"/>
        <w:rPr>
          <w:i/>
          <w:sz w:val="16"/>
          <w:szCs w:val="16"/>
        </w:rPr>
      </w:pPr>
      <w:r>
        <w:rPr>
          <w:i/>
          <w:sz w:val="16"/>
          <w:szCs w:val="16"/>
        </w:rPr>
        <w:t>Source: Statistics New Zealand, Estimated sub-national population 2011</w:t>
      </w:r>
      <w:r>
        <w:rPr>
          <w:i/>
          <w:sz w:val="16"/>
          <w:szCs w:val="16"/>
        </w:rPr>
        <w:tab/>
      </w:r>
    </w:p>
    <w:p w:rsidR="00F84135" w:rsidRDefault="00F84135" w:rsidP="00F84135">
      <w:pPr>
        <w:pStyle w:val="BodyText"/>
        <w:spacing w:line="320" w:lineRule="exact"/>
        <w:ind w:left="0"/>
        <w:jc w:val="both"/>
      </w:pPr>
      <w:r>
        <w:t xml:space="preserve">Figures 7 and 7A: Age-Sex Structure, </w:t>
      </w:r>
      <w:r w:rsidR="00136A1C">
        <w:t>Māori</w:t>
      </w:r>
      <w:r>
        <w:t xml:space="preserve"> (TCC) 2011 and 2021</w:t>
      </w:r>
    </w:p>
    <w:p w:rsidR="00710487" w:rsidRPr="00AE685E" w:rsidRDefault="004E130B" w:rsidP="0050513F">
      <w:pPr>
        <w:tabs>
          <w:tab w:val="left" w:pos="4536"/>
        </w:tabs>
      </w:pPr>
      <w:r>
        <w:rPr>
          <w:noProof/>
          <w:lang w:val="en-US"/>
        </w:rPr>
        <w:drawing>
          <wp:inline distT="0" distB="0" distL="0" distR="0" wp14:anchorId="110167F1" wp14:editId="7DFD5413">
            <wp:extent cx="2676525" cy="2371725"/>
            <wp:effectExtent l="0" t="0" r="9525" b="9525"/>
            <wp:docPr id="96" name="Chart 9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r w:rsidR="0050513F">
        <w:tab/>
      </w:r>
      <w:r>
        <w:rPr>
          <w:noProof/>
          <w:lang w:val="en-US"/>
        </w:rPr>
        <w:drawing>
          <wp:inline distT="0" distB="0" distL="0" distR="0" wp14:anchorId="7A8F60B3" wp14:editId="697DA058">
            <wp:extent cx="2809875" cy="2373630"/>
            <wp:effectExtent l="0" t="0" r="9525" b="26670"/>
            <wp:docPr id="86" name="Chart 8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DA7967" w:rsidRDefault="00F84135" w:rsidP="00DA7967">
      <w:pPr>
        <w:pStyle w:val="BodyText"/>
        <w:spacing w:line="320" w:lineRule="exact"/>
        <w:ind w:left="0"/>
        <w:jc w:val="both"/>
      </w:pPr>
      <w:r>
        <w:rPr>
          <w:i/>
          <w:sz w:val="16"/>
          <w:szCs w:val="16"/>
        </w:rPr>
        <w:t>Source: Statistics New Zealand, Estimated sub-national population 2011</w:t>
      </w:r>
    </w:p>
    <w:p w:rsidR="00DA7967" w:rsidRPr="00DA7967" w:rsidRDefault="00DA7967" w:rsidP="00DA7967">
      <w:pPr>
        <w:pStyle w:val="BodyText"/>
        <w:spacing w:line="320" w:lineRule="exact"/>
        <w:ind w:left="0"/>
        <w:jc w:val="both"/>
      </w:pPr>
      <w:r w:rsidRPr="00DA7967">
        <w:t xml:space="preserve">It is clear that while WBOPDC shows a changing pattern of </w:t>
      </w:r>
      <w:r w:rsidR="00377C67">
        <w:t>Māori</w:t>
      </w:r>
      <w:r w:rsidRPr="00DA7967">
        <w:t xml:space="preserve"> fertility this is not the </w:t>
      </w:r>
      <w:r w:rsidR="00F84135">
        <w:t>c</w:t>
      </w:r>
      <w:r w:rsidRPr="00DA7967">
        <w:t>ase in Tauranga City. However there is a marked increase in births since the NZ baby blip period (1991)</w:t>
      </w:r>
      <w:r>
        <w:t xml:space="preserve">. </w:t>
      </w:r>
      <w:r w:rsidRPr="00DA7967">
        <w:t xml:space="preserve"> In both </w:t>
      </w:r>
      <w:r w:rsidR="00531BC1">
        <w:t>t</w:t>
      </w:r>
      <w:r w:rsidRPr="00DA7967">
        <w:t xml:space="preserve">erritorial </w:t>
      </w:r>
      <w:r w:rsidR="00531BC1">
        <w:t>a</w:t>
      </w:r>
      <w:r w:rsidRPr="00DA7967">
        <w:t xml:space="preserve">uthorities premature death or low life expectancy is a feature. </w:t>
      </w:r>
    </w:p>
    <w:p w:rsidR="00DA7967" w:rsidRPr="00DA7967" w:rsidRDefault="00DA7967" w:rsidP="00DA7967">
      <w:pPr>
        <w:pStyle w:val="BodyText"/>
        <w:spacing w:line="320" w:lineRule="exact"/>
        <w:ind w:left="0"/>
        <w:jc w:val="both"/>
        <w:rPr>
          <w:i/>
        </w:rPr>
      </w:pPr>
      <w:r w:rsidRPr="00DA7967">
        <w:rPr>
          <w:i/>
        </w:rPr>
        <w:t xml:space="preserve">The </w:t>
      </w:r>
      <w:r w:rsidR="00377C67">
        <w:rPr>
          <w:i/>
        </w:rPr>
        <w:t>Māori</w:t>
      </w:r>
      <w:r w:rsidRPr="00DA7967">
        <w:rPr>
          <w:i/>
        </w:rPr>
        <w:t xml:space="preserve"> population of the sub-region is not ageing. </w:t>
      </w:r>
    </w:p>
    <w:p w:rsidR="00E15D0B" w:rsidRDefault="00E15D0B" w:rsidP="00F84135">
      <w:pPr>
        <w:pStyle w:val="BodyText"/>
        <w:spacing w:line="320" w:lineRule="exact"/>
        <w:ind w:left="0"/>
        <w:jc w:val="both"/>
      </w:pPr>
      <w:r>
        <w:t xml:space="preserve">This demographic analysis at a sub-regional level may inform some sub-regional policies such as housing and economic investment </w:t>
      </w:r>
      <w:r w:rsidRPr="00531BC1">
        <w:rPr>
          <w:u w:val="single"/>
        </w:rPr>
        <w:t>but territorial authority decision making will need to ‘drill down’ to reflect the diversity of their own demographic profile</w:t>
      </w:r>
      <w:r>
        <w:t>.  Similarly this will affect the provision of ageing-in-place infrastructure, health and social care service provision.</w:t>
      </w:r>
    </w:p>
    <w:p w:rsidR="00531BC1" w:rsidRDefault="00531BC1" w:rsidP="00F84135">
      <w:pPr>
        <w:pStyle w:val="BodyText"/>
        <w:spacing w:line="320" w:lineRule="exact"/>
        <w:ind w:left="0"/>
        <w:jc w:val="both"/>
      </w:pPr>
    </w:p>
    <w:p w:rsidR="00CB6C87" w:rsidRDefault="00CB6C87" w:rsidP="00F84135">
      <w:pPr>
        <w:pStyle w:val="BodyText"/>
        <w:spacing w:line="320" w:lineRule="exact"/>
        <w:ind w:left="0"/>
        <w:jc w:val="both"/>
      </w:pPr>
    </w:p>
    <w:p w:rsidR="00E15D0B" w:rsidRPr="008032D2" w:rsidRDefault="00E15D0B" w:rsidP="00E15D0B">
      <w:pPr>
        <w:pStyle w:val="BodyText"/>
        <w:ind w:left="0"/>
      </w:pPr>
      <w:r w:rsidRPr="008032D2">
        <w:t xml:space="preserve">Figure </w:t>
      </w:r>
      <w:r w:rsidR="00F84135">
        <w:t>8</w:t>
      </w:r>
      <w:r w:rsidRPr="008032D2">
        <w:t xml:space="preserve">: Dependency Ratio </w:t>
      </w:r>
    </w:p>
    <w:p w:rsidR="00E15D0B" w:rsidRPr="0051128B" w:rsidRDefault="00E15D0B" w:rsidP="00E15D0B">
      <w:pPr>
        <w:pStyle w:val="BodyText"/>
        <w:ind w:left="0"/>
        <w:rPr>
          <w:b/>
        </w:rPr>
      </w:pPr>
      <w:r w:rsidRPr="0051128B">
        <w:rPr>
          <w:b/>
          <w:noProof/>
          <w:lang w:val="en-US"/>
        </w:rPr>
        <w:drawing>
          <wp:inline distT="0" distB="0" distL="0" distR="0" wp14:anchorId="137D50C6" wp14:editId="4990789F">
            <wp:extent cx="4500748" cy="2956956"/>
            <wp:effectExtent l="0" t="0" r="14605" b="1524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E15D0B" w:rsidRPr="00CB6C87" w:rsidRDefault="00E15D0B" w:rsidP="00E15D0B">
      <w:pPr>
        <w:pStyle w:val="BodyText"/>
        <w:ind w:left="0"/>
        <w:rPr>
          <w:i/>
          <w:sz w:val="16"/>
          <w:szCs w:val="16"/>
        </w:rPr>
      </w:pPr>
      <w:r w:rsidRPr="00CB6C87">
        <w:rPr>
          <w:i/>
          <w:sz w:val="16"/>
          <w:szCs w:val="16"/>
        </w:rPr>
        <w:t>Source: Statistics New Zealand area unit population projections by age and sex 2006(base) – 2031 Update.</w:t>
      </w:r>
    </w:p>
    <w:p w:rsidR="002A4EA0" w:rsidRDefault="00E15D0B" w:rsidP="007A45C6">
      <w:pPr>
        <w:pStyle w:val="BodyText"/>
        <w:spacing w:line="320" w:lineRule="exact"/>
        <w:ind w:left="0"/>
        <w:jc w:val="both"/>
      </w:pPr>
      <w:r>
        <w:t xml:space="preserve">The sub-region is facing an imminent shift in the dependency ratio of young to old, such that the number of 65+ year olds to children (0-14 years) will cross over in approximately 4 </w:t>
      </w:r>
      <w:r w:rsidR="0027688E">
        <w:t>year’s time</w:t>
      </w:r>
      <w:r>
        <w:t xml:space="preserve"> (Figure </w:t>
      </w:r>
      <w:r w:rsidR="00F84135">
        <w:t>8</w:t>
      </w:r>
      <w:r>
        <w:t>).  For the Western Bay of Plenty District considered in isolation, the structural crossover is projected to occur in 2013.</w:t>
      </w:r>
    </w:p>
    <w:p w:rsidR="00DC2A9A" w:rsidRDefault="00A52B3E" w:rsidP="00A52B3E">
      <w:pPr>
        <w:pStyle w:val="Heading2"/>
        <w:spacing w:before="120" w:after="120" w:line="320" w:lineRule="exact"/>
        <w:ind w:left="578" w:hanging="578"/>
        <w:rPr>
          <w:u w:val="none"/>
        </w:rPr>
      </w:pPr>
      <w:bookmarkStart w:id="16" w:name="_Toc340245226"/>
      <w:r>
        <w:rPr>
          <w:u w:val="none"/>
        </w:rPr>
        <w:t>Actions for the updated SmartGrowth Strategy</w:t>
      </w:r>
      <w:bookmarkEnd w:id="16"/>
    </w:p>
    <w:tbl>
      <w:tblPr>
        <w:tblStyle w:val="TableGrid"/>
        <w:tblW w:w="9158" w:type="dxa"/>
        <w:tblInd w:w="108" w:type="dxa"/>
        <w:tblLook w:val="04A0" w:firstRow="1" w:lastRow="0" w:firstColumn="1" w:lastColumn="0" w:noHBand="0" w:noVBand="1"/>
      </w:tblPr>
      <w:tblGrid>
        <w:gridCol w:w="3466"/>
        <w:gridCol w:w="1512"/>
        <w:gridCol w:w="1329"/>
        <w:gridCol w:w="1339"/>
        <w:gridCol w:w="1512"/>
      </w:tblGrid>
      <w:tr w:rsidR="00A52B3E" w:rsidRPr="00A52B3E" w:rsidTr="00A52B3E">
        <w:tc>
          <w:tcPr>
            <w:tcW w:w="3500" w:type="dxa"/>
            <w:shd w:val="clear" w:color="auto" w:fill="D9D9D9" w:themeFill="background1" w:themeFillShade="D9"/>
          </w:tcPr>
          <w:p w:rsidR="00A52B3E" w:rsidRPr="00A52B3E" w:rsidRDefault="00A52B3E" w:rsidP="00A24B12">
            <w:pPr>
              <w:pStyle w:val="Heading3"/>
              <w:numPr>
                <w:ilvl w:val="0"/>
                <w:numId w:val="0"/>
              </w:numPr>
              <w:spacing w:before="120" w:after="120" w:line="320" w:lineRule="exact"/>
              <w:ind w:left="318"/>
              <w:jc w:val="both"/>
              <w:rPr>
                <w:b/>
              </w:rPr>
            </w:pPr>
            <w:r w:rsidRPr="00A52B3E">
              <w:rPr>
                <w:b/>
              </w:rPr>
              <w:t>Action</w:t>
            </w:r>
          </w:p>
        </w:tc>
        <w:tc>
          <w:tcPr>
            <w:tcW w:w="1512" w:type="dxa"/>
            <w:shd w:val="clear" w:color="auto" w:fill="D9D9D9" w:themeFill="background1" w:themeFillShade="D9"/>
          </w:tcPr>
          <w:p w:rsidR="00A52B3E" w:rsidRPr="00A52B3E" w:rsidRDefault="00A52B3E" w:rsidP="00A24B12">
            <w:pPr>
              <w:pStyle w:val="BodyText"/>
              <w:spacing w:line="320" w:lineRule="exact"/>
              <w:ind w:left="0"/>
              <w:rPr>
                <w:b/>
                <w:lang w:val="en-NZ"/>
              </w:rPr>
            </w:pPr>
            <w:r w:rsidRPr="00A52B3E">
              <w:rPr>
                <w:b/>
                <w:lang w:val="en-NZ"/>
              </w:rPr>
              <w:t>Lead Agency</w:t>
            </w:r>
          </w:p>
        </w:tc>
        <w:tc>
          <w:tcPr>
            <w:tcW w:w="1292" w:type="dxa"/>
            <w:shd w:val="clear" w:color="auto" w:fill="D9D9D9" w:themeFill="background1" w:themeFillShade="D9"/>
          </w:tcPr>
          <w:p w:rsidR="00A52B3E" w:rsidRPr="00A52B3E" w:rsidRDefault="00A52B3E" w:rsidP="00A24B12">
            <w:pPr>
              <w:pStyle w:val="BodyText"/>
              <w:spacing w:line="320" w:lineRule="exact"/>
              <w:ind w:left="0"/>
              <w:rPr>
                <w:b/>
                <w:lang w:val="en-NZ"/>
              </w:rPr>
            </w:pPr>
            <w:r w:rsidRPr="00A52B3E">
              <w:rPr>
                <w:b/>
                <w:lang w:val="en-NZ"/>
              </w:rPr>
              <w:t>Timeframe</w:t>
            </w:r>
          </w:p>
        </w:tc>
        <w:tc>
          <w:tcPr>
            <w:tcW w:w="1342" w:type="dxa"/>
            <w:shd w:val="clear" w:color="auto" w:fill="D9D9D9" w:themeFill="background1" w:themeFillShade="D9"/>
          </w:tcPr>
          <w:p w:rsidR="00A52B3E" w:rsidRPr="00A52B3E" w:rsidRDefault="00A52B3E" w:rsidP="00A24B12">
            <w:pPr>
              <w:pStyle w:val="BodyText"/>
              <w:spacing w:line="320" w:lineRule="exact"/>
              <w:ind w:left="0"/>
              <w:rPr>
                <w:b/>
                <w:lang w:val="en-NZ"/>
              </w:rPr>
            </w:pPr>
            <w:r w:rsidRPr="00A52B3E">
              <w:rPr>
                <w:b/>
                <w:lang w:val="en-NZ"/>
              </w:rPr>
              <w:t>Funding</w:t>
            </w:r>
          </w:p>
        </w:tc>
        <w:tc>
          <w:tcPr>
            <w:tcW w:w="1512" w:type="dxa"/>
            <w:shd w:val="clear" w:color="auto" w:fill="D9D9D9" w:themeFill="background1" w:themeFillShade="D9"/>
          </w:tcPr>
          <w:p w:rsidR="00A52B3E" w:rsidRPr="00A52B3E" w:rsidRDefault="00A52B3E" w:rsidP="00A24B12">
            <w:pPr>
              <w:pStyle w:val="BodyText"/>
              <w:spacing w:line="320" w:lineRule="exact"/>
              <w:ind w:left="0"/>
              <w:rPr>
                <w:b/>
                <w:lang w:val="en-NZ"/>
              </w:rPr>
            </w:pPr>
            <w:r w:rsidRPr="00A52B3E">
              <w:rPr>
                <w:b/>
                <w:lang w:val="en-NZ"/>
              </w:rPr>
              <w:t>Measure of Success</w:t>
            </w:r>
          </w:p>
        </w:tc>
      </w:tr>
      <w:tr w:rsidR="00A52B3E" w:rsidTr="00A24B12">
        <w:tc>
          <w:tcPr>
            <w:tcW w:w="3500" w:type="dxa"/>
          </w:tcPr>
          <w:p w:rsidR="00A52B3E" w:rsidRDefault="00A52B3E" w:rsidP="00A24B12">
            <w:pPr>
              <w:pStyle w:val="Heading3"/>
              <w:numPr>
                <w:ilvl w:val="0"/>
                <w:numId w:val="0"/>
              </w:numPr>
              <w:spacing w:before="120" w:after="120" w:line="320" w:lineRule="exact"/>
              <w:ind w:left="34" w:hanging="34"/>
              <w:jc w:val="both"/>
            </w:pPr>
            <w:r>
              <w:t>That SmartGrowth ensure routine inclusion of demographic change analysis (e.g. population ageing impact) and consideration for the needs of older people (age friendly assessments) in all development, policies and programmes (including civil defence plans and climate change responses).</w:t>
            </w:r>
          </w:p>
          <w:p w:rsidR="00A52B3E" w:rsidRDefault="00A52B3E" w:rsidP="00A24B12">
            <w:pPr>
              <w:pStyle w:val="Heading3"/>
              <w:numPr>
                <w:ilvl w:val="0"/>
                <w:numId w:val="0"/>
              </w:numPr>
              <w:spacing w:before="120" w:after="120" w:line="320" w:lineRule="exact"/>
              <w:ind w:left="318"/>
              <w:jc w:val="both"/>
            </w:pPr>
          </w:p>
        </w:tc>
        <w:tc>
          <w:tcPr>
            <w:tcW w:w="1512" w:type="dxa"/>
          </w:tcPr>
          <w:p w:rsidR="00A52B3E" w:rsidRDefault="00A52B3E" w:rsidP="00A24B12">
            <w:pPr>
              <w:pStyle w:val="BodyText"/>
              <w:spacing w:line="320" w:lineRule="exact"/>
              <w:ind w:left="0"/>
              <w:rPr>
                <w:lang w:val="en-NZ"/>
              </w:rPr>
            </w:pPr>
            <w:r>
              <w:rPr>
                <w:lang w:val="en-NZ"/>
              </w:rPr>
              <w:t>SmartGrowth</w:t>
            </w:r>
          </w:p>
          <w:p w:rsidR="00A52B3E" w:rsidRDefault="00A52B3E" w:rsidP="00A24B12">
            <w:pPr>
              <w:pStyle w:val="BodyText"/>
              <w:spacing w:line="320" w:lineRule="exact"/>
              <w:ind w:left="0"/>
              <w:rPr>
                <w:lang w:val="en-NZ"/>
              </w:rPr>
            </w:pPr>
            <w:r>
              <w:rPr>
                <w:lang w:val="en-NZ"/>
              </w:rPr>
              <w:t>TCC</w:t>
            </w:r>
          </w:p>
          <w:p w:rsidR="00A52B3E" w:rsidRDefault="00A52B3E" w:rsidP="00A24B12">
            <w:pPr>
              <w:pStyle w:val="BodyText"/>
              <w:spacing w:line="320" w:lineRule="exact"/>
              <w:ind w:left="0"/>
              <w:rPr>
                <w:lang w:val="en-NZ"/>
              </w:rPr>
            </w:pPr>
            <w:r>
              <w:rPr>
                <w:lang w:val="en-NZ"/>
              </w:rPr>
              <w:t>WBOPDC</w:t>
            </w:r>
          </w:p>
          <w:p w:rsidR="00A52B3E" w:rsidRDefault="00A52B3E" w:rsidP="00A24B12">
            <w:pPr>
              <w:pStyle w:val="BodyText"/>
              <w:spacing w:line="320" w:lineRule="exact"/>
              <w:ind w:left="0"/>
              <w:rPr>
                <w:lang w:val="en-NZ"/>
              </w:rPr>
            </w:pPr>
            <w:r>
              <w:rPr>
                <w:lang w:val="en-NZ"/>
              </w:rPr>
              <w:t>NZTA</w:t>
            </w:r>
          </w:p>
        </w:tc>
        <w:tc>
          <w:tcPr>
            <w:tcW w:w="1292" w:type="dxa"/>
          </w:tcPr>
          <w:p w:rsidR="00A52B3E" w:rsidRDefault="00A52B3E" w:rsidP="00A24B12">
            <w:pPr>
              <w:pStyle w:val="BodyText"/>
              <w:spacing w:line="320" w:lineRule="exact"/>
              <w:ind w:left="0"/>
              <w:rPr>
                <w:lang w:val="en-NZ"/>
              </w:rPr>
            </w:pPr>
            <w:r>
              <w:rPr>
                <w:lang w:val="en-NZ"/>
              </w:rPr>
              <w:t>Short</w:t>
            </w:r>
          </w:p>
        </w:tc>
        <w:tc>
          <w:tcPr>
            <w:tcW w:w="1342" w:type="dxa"/>
          </w:tcPr>
          <w:p w:rsidR="00A52B3E" w:rsidRDefault="00A52B3E" w:rsidP="00A24B12">
            <w:pPr>
              <w:pStyle w:val="BodyText"/>
              <w:spacing w:line="320" w:lineRule="exact"/>
              <w:ind w:left="0"/>
              <w:rPr>
                <w:lang w:val="en-NZ"/>
              </w:rPr>
            </w:pPr>
            <w:r>
              <w:rPr>
                <w:lang w:val="en-NZ"/>
              </w:rPr>
              <w:t>Partner &amp; resources</w:t>
            </w:r>
          </w:p>
        </w:tc>
        <w:tc>
          <w:tcPr>
            <w:tcW w:w="1512" w:type="dxa"/>
          </w:tcPr>
          <w:p w:rsidR="00A52B3E" w:rsidRDefault="00A52B3E" w:rsidP="00A24B12">
            <w:pPr>
              <w:pStyle w:val="BodyText"/>
              <w:spacing w:line="320" w:lineRule="exact"/>
              <w:ind w:left="0"/>
              <w:rPr>
                <w:lang w:val="en-NZ"/>
              </w:rPr>
            </w:pPr>
            <w:r>
              <w:rPr>
                <w:lang w:val="en-NZ"/>
              </w:rPr>
              <w:t>Evidence of demographic change analyses can be produced</w:t>
            </w:r>
          </w:p>
        </w:tc>
      </w:tr>
    </w:tbl>
    <w:p w:rsidR="00A52B3E" w:rsidRDefault="00A52B3E" w:rsidP="00A52B3E">
      <w:pPr>
        <w:pStyle w:val="Heading3"/>
        <w:numPr>
          <w:ilvl w:val="0"/>
          <w:numId w:val="0"/>
        </w:numPr>
        <w:spacing w:before="120" w:after="120" w:line="320" w:lineRule="exact"/>
        <w:ind w:left="720" w:hanging="720"/>
        <w:jc w:val="both"/>
      </w:pPr>
    </w:p>
    <w:p w:rsidR="007A45C6" w:rsidRDefault="007A45C6" w:rsidP="00A661BB"/>
    <w:p w:rsidR="00A52B3E" w:rsidRDefault="00A52B3E" w:rsidP="00A661BB"/>
    <w:p w:rsidR="00A52B3E" w:rsidRDefault="00A52B3E" w:rsidP="00A661BB"/>
    <w:p w:rsidR="00A52B3E" w:rsidRDefault="00A52B3E" w:rsidP="00A661BB"/>
    <w:p w:rsidR="00A52B3E" w:rsidRDefault="00A52B3E" w:rsidP="00A661BB"/>
    <w:p w:rsidR="00A52B3E" w:rsidRDefault="00A52B3E" w:rsidP="00A661BB"/>
    <w:p w:rsidR="00A52B3E" w:rsidRDefault="00A52B3E" w:rsidP="00A661BB"/>
    <w:p w:rsidR="00B03D7D" w:rsidRPr="00B03D7D" w:rsidRDefault="00AF15D4" w:rsidP="007A45C6">
      <w:pPr>
        <w:pStyle w:val="Heading1"/>
      </w:pPr>
      <w:bookmarkStart w:id="17" w:name="_Toc340245227"/>
      <w:bookmarkStart w:id="18" w:name="_Toc336863664"/>
      <w:r>
        <w:t>LIVEABLE COMMUNITIES</w:t>
      </w:r>
      <w:bookmarkEnd w:id="17"/>
    </w:p>
    <w:p w:rsidR="0064057D" w:rsidRDefault="0064057D" w:rsidP="0064057D">
      <w:pPr>
        <w:pStyle w:val="Heading2"/>
        <w:numPr>
          <w:ilvl w:val="0"/>
          <w:numId w:val="0"/>
        </w:numPr>
        <w:ind w:left="576"/>
      </w:pPr>
    </w:p>
    <w:p w:rsidR="00086BCE" w:rsidRPr="00A52B3E" w:rsidRDefault="00086BCE" w:rsidP="00086BCE">
      <w:pPr>
        <w:pStyle w:val="Heading2"/>
        <w:rPr>
          <w:u w:val="none"/>
        </w:rPr>
      </w:pPr>
      <w:bookmarkStart w:id="19" w:name="_Toc340245228"/>
      <w:r w:rsidRPr="00A52B3E">
        <w:rPr>
          <w:u w:val="none"/>
        </w:rPr>
        <w:t>Housing as a fundamental determinant to wellbeing</w:t>
      </w:r>
      <w:bookmarkEnd w:id="19"/>
    </w:p>
    <w:p w:rsidR="00CB7237" w:rsidRDefault="00CB7237" w:rsidP="00CB7237">
      <w:pPr>
        <w:pStyle w:val="BodyText"/>
        <w:spacing w:line="320" w:lineRule="exact"/>
        <w:ind w:left="0"/>
        <w:jc w:val="both"/>
        <w:rPr>
          <w:lang w:val="en-NZ"/>
        </w:rPr>
      </w:pPr>
      <w:r>
        <w:rPr>
          <w:lang w:val="en-NZ"/>
        </w:rPr>
        <w:t>The World Health Organisation (WHO) and other lead agencies confirm that older people of the future are likely to be healthier and less disabled longer than older people of today and in the recent past.  Nevertheless it is agreed that with ageing populations there will be an increase of impaired mobility and cognitive ability in communities.  The impacts on housing demand associated with these changes could be profound, particularly because of the condition and configuration of N</w:t>
      </w:r>
      <w:r w:rsidR="0064057D">
        <w:rPr>
          <w:lang w:val="en-NZ"/>
        </w:rPr>
        <w:t>ew Zealand’s housing stock.</w:t>
      </w:r>
      <w:r w:rsidR="0064057D">
        <w:rPr>
          <w:rStyle w:val="FootnoteReference"/>
          <w:lang w:val="en-NZ"/>
        </w:rPr>
        <w:footnoteReference w:id="15"/>
      </w:r>
    </w:p>
    <w:p w:rsidR="00CB7237" w:rsidRDefault="00CB7237" w:rsidP="00CB7237">
      <w:pPr>
        <w:pStyle w:val="BodyText"/>
        <w:spacing w:line="320" w:lineRule="exact"/>
        <w:ind w:left="0"/>
        <w:jc w:val="both"/>
        <w:rPr>
          <w:lang w:val="en-NZ"/>
        </w:rPr>
      </w:pPr>
      <w:r>
        <w:rPr>
          <w:lang w:val="en-NZ"/>
        </w:rPr>
        <w:t>Good housing is a fundamental determinant of wellbeing and is a critical pathway to avoid significant and costly dependency.  A place to live that is physically manageable and emotionally uplifting is connected with independence, peace of mind, and self-improvement.</w:t>
      </w:r>
    </w:p>
    <w:p w:rsidR="00CB7237" w:rsidRPr="00086BCE" w:rsidRDefault="00CB7237" w:rsidP="00CB7237">
      <w:pPr>
        <w:pStyle w:val="BodyText"/>
        <w:spacing w:line="320" w:lineRule="exact"/>
        <w:ind w:left="0"/>
        <w:jc w:val="both"/>
        <w:rPr>
          <w:lang w:val="en-NZ"/>
        </w:rPr>
      </w:pPr>
      <w:r>
        <w:rPr>
          <w:lang w:val="en-NZ"/>
        </w:rPr>
        <w:t xml:space="preserve">Research by Phillipson and Biggs in the UK shows that as people age their homes become more significant in defining their identity and shaping their lives as they spend proportionately more time within the home. Research </w:t>
      </w:r>
      <w:r w:rsidR="00CB0397">
        <w:rPr>
          <w:lang w:val="en-NZ"/>
        </w:rPr>
        <w:t xml:space="preserve">also </w:t>
      </w:r>
      <w:r>
        <w:rPr>
          <w:lang w:val="en-NZ"/>
        </w:rPr>
        <w:t>suggests that the majority of older people have no preference to live in communities exclusively for people of the same age.  Anecdotal evidence in sub-r</w:t>
      </w:r>
      <w:r w:rsidR="00531BC1">
        <w:rPr>
          <w:lang w:val="en-NZ"/>
        </w:rPr>
        <w:t>egional fora reflects this view despite the current flow to retirement village environments.</w:t>
      </w:r>
    </w:p>
    <w:p w:rsidR="00263973" w:rsidRDefault="00385D41" w:rsidP="00385D41">
      <w:pPr>
        <w:pStyle w:val="BodyText"/>
        <w:spacing w:line="320" w:lineRule="exact"/>
        <w:ind w:left="0"/>
        <w:jc w:val="both"/>
        <w:rPr>
          <w:lang w:val="en-NZ"/>
        </w:rPr>
      </w:pPr>
      <w:r>
        <w:rPr>
          <w:lang w:val="en-NZ"/>
        </w:rPr>
        <w:t xml:space="preserve">International research confirms that many of the issues around older people’s housing futures in the context of an ageing society are similar to those identified in New Zealand.  </w:t>
      </w:r>
    </w:p>
    <w:p w:rsidR="00263973" w:rsidRPr="00C343C5" w:rsidRDefault="00CB7237" w:rsidP="006C231E">
      <w:pPr>
        <w:pStyle w:val="BodyText"/>
        <w:numPr>
          <w:ilvl w:val="0"/>
          <w:numId w:val="10"/>
        </w:numPr>
        <w:spacing w:line="320" w:lineRule="exact"/>
        <w:ind w:left="284" w:hanging="284"/>
        <w:jc w:val="both"/>
        <w:rPr>
          <w:lang w:val="en-NZ"/>
        </w:rPr>
      </w:pPr>
      <w:r>
        <w:rPr>
          <w:lang w:val="en-NZ"/>
        </w:rPr>
        <w:t>An imperative to a</w:t>
      </w:r>
      <w:r w:rsidR="00263973" w:rsidRPr="00C343C5">
        <w:rPr>
          <w:lang w:val="en-NZ"/>
        </w:rPr>
        <w:t>ge-in-place</w:t>
      </w:r>
    </w:p>
    <w:p w:rsidR="00263973" w:rsidRDefault="00263973" w:rsidP="006C231E">
      <w:pPr>
        <w:pStyle w:val="BodyText"/>
        <w:numPr>
          <w:ilvl w:val="0"/>
          <w:numId w:val="10"/>
        </w:numPr>
        <w:spacing w:line="320" w:lineRule="exact"/>
        <w:ind w:left="284" w:hanging="284"/>
        <w:jc w:val="both"/>
        <w:rPr>
          <w:lang w:val="en-NZ"/>
        </w:rPr>
      </w:pPr>
      <w:r>
        <w:rPr>
          <w:lang w:val="en-NZ"/>
        </w:rPr>
        <w:t>Identity, connectivity and inclusion</w:t>
      </w:r>
    </w:p>
    <w:p w:rsidR="00263973" w:rsidRDefault="00263973" w:rsidP="006C231E">
      <w:pPr>
        <w:pStyle w:val="BodyText"/>
        <w:numPr>
          <w:ilvl w:val="0"/>
          <w:numId w:val="10"/>
        </w:numPr>
        <w:spacing w:line="320" w:lineRule="exact"/>
        <w:ind w:left="284" w:hanging="284"/>
        <w:jc w:val="both"/>
        <w:rPr>
          <w:lang w:val="en-NZ"/>
        </w:rPr>
      </w:pPr>
      <w:r>
        <w:rPr>
          <w:lang w:val="en-NZ"/>
        </w:rPr>
        <w:t>Quality of housing (both new and existing)</w:t>
      </w:r>
    </w:p>
    <w:p w:rsidR="00263973" w:rsidRDefault="00263973" w:rsidP="006C231E">
      <w:pPr>
        <w:pStyle w:val="BodyText"/>
        <w:numPr>
          <w:ilvl w:val="0"/>
          <w:numId w:val="10"/>
        </w:numPr>
        <w:spacing w:line="320" w:lineRule="exact"/>
        <w:ind w:left="284" w:hanging="284"/>
        <w:jc w:val="both"/>
        <w:rPr>
          <w:lang w:val="en-NZ"/>
        </w:rPr>
      </w:pPr>
      <w:r>
        <w:rPr>
          <w:lang w:val="en-NZ"/>
        </w:rPr>
        <w:t>Universal design – Lifemark™ New Zealand</w:t>
      </w:r>
    </w:p>
    <w:p w:rsidR="00263973" w:rsidRDefault="00263973" w:rsidP="006C231E">
      <w:pPr>
        <w:pStyle w:val="BodyText"/>
        <w:numPr>
          <w:ilvl w:val="0"/>
          <w:numId w:val="10"/>
        </w:numPr>
        <w:spacing w:line="320" w:lineRule="exact"/>
        <w:ind w:left="284" w:hanging="284"/>
        <w:jc w:val="both"/>
        <w:rPr>
          <w:lang w:val="en-NZ"/>
        </w:rPr>
      </w:pPr>
      <w:r>
        <w:rPr>
          <w:lang w:val="en-NZ"/>
        </w:rPr>
        <w:t>Housing choice</w:t>
      </w:r>
    </w:p>
    <w:p w:rsidR="00263973" w:rsidRDefault="00263973" w:rsidP="006C231E">
      <w:pPr>
        <w:pStyle w:val="BodyText"/>
        <w:numPr>
          <w:ilvl w:val="0"/>
          <w:numId w:val="10"/>
        </w:numPr>
        <w:spacing w:line="320" w:lineRule="exact"/>
        <w:ind w:left="284" w:hanging="284"/>
        <w:jc w:val="both"/>
        <w:rPr>
          <w:lang w:val="en-NZ"/>
        </w:rPr>
      </w:pPr>
      <w:r>
        <w:rPr>
          <w:lang w:val="en-NZ"/>
        </w:rPr>
        <w:t>Social care and community services</w:t>
      </w:r>
    </w:p>
    <w:p w:rsidR="00263973" w:rsidRDefault="00263973" w:rsidP="006C231E">
      <w:pPr>
        <w:pStyle w:val="BodyText"/>
        <w:numPr>
          <w:ilvl w:val="0"/>
          <w:numId w:val="10"/>
        </w:numPr>
        <w:spacing w:line="320" w:lineRule="exact"/>
        <w:ind w:left="284" w:hanging="284"/>
        <w:jc w:val="both"/>
        <w:rPr>
          <w:lang w:val="en-NZ"/>
        </w:rPr>
      </w:pPr>
      <w:r>
        <w:rPr>
          <w:lang w:val="en-NZ"/>
        </w:rPr>
        <w:t>Social infrastructure including transport</w:t>
      </w:r>
    </w:p>
    <w:p w:rsidR="00CA5045" w:rsidRDefault="00CA5045" w:rsidP="00385D41">
      <w:pPr>
        <w:pStyle w:val="BodyText"/>
        <w:spacing w:line="320" w:lineRule="exact"/>
        <w:ind w:left="0"/>
        <w:jc w:val="both"/>
        <w:rPr>
          <w:lang w:val="en-NZ"/>
        </w:rPr>
      </w:pPr>
      <w:r>
        <w:rPr>
          <w:lang w:val="en-NZ"/>
        </w:rPr>
        <w:t>The imperative for people to age in place reflects a desire to stay socially and culturally connected and to continue to live in o</w:t>
      </w:r>
      <w:r w:rsidR="00CB0397">
        <w:rPr>
          <w:lang w:val="en-NZ"/>
        </w:rPr>
        <w:t>ne’s own home and maintain</w:t>
      </w:r>
      <w:r>
        <w:rPr>
          <w:lang w:val="en-NZ"/>
        </w:rPr>
        <w:t xml:space="preserve"> independence.</w:t>
      </w:r>
      <w:r w:rsidR="00C95019">
        <w:rPr>
          <w:lang w:val="en-NZ"/>
        </w:rPr>
        <w:t xml:space="preserve">  The market driven retirement village model (designed to provide a continuum of lifetime care)</w:t>
      </w:r>
      <w:r w:rsidR="00447C2D">
        <w:rPr>
          <w:lang w:val="en-NZ"/>
        </w:rPr>
        <w:t xml:space="preserve"> segregates generations,</w:t>
      </w:r>
      <w:r w:rsidR="00C95019">
        <w:rPr>
          <w:lang w:val="en-NZ"/>
        </w:rPr>
        <w:t xml:space="preserve"> presents risk to the social contract</w:t>
      </w:r>
      <w:r w:rsidR="00447C2D">
        <w:rPr>
          <w:lang w:val="en-NZ"/>
        </w:rPr>
        <w:t xml:space="preserve"> and sharing of cultural wisdom</w:t>
      </w:r>
      <w:r w:rsidR="00C95019">
        <w:rPr>
          <w:lang w:val="en-NZ"/>
        </w:rPr>
        <w:t>.</w:t>
      </w:r>
    </w:p>
    <w:p w:rsidR="00CB7237" w:rsidRDefault="00385D41" w:rsidP="00CB7237">
      <w:pPr>
        <w:pStyle w:val="BodyText"/>
        <w:spacing w:line="320" w:lineRule="exact"/>
        <w:ind w:left="0"/>
        <w:jc w:val="both"/>
        <w:rPr>
          <w:lang w:val="en-NZ"/>
        </w:rPr>
      </w:pPr>
      <w:r>
        <w:rPr>
          <w:lang w:val="en-NZ"/>
        </w:rPr>
        <w:t>Support for the desire of older people to ‘age in place’ is a strongly consistent theme of the research yet this is driven not only by preference but by the gathering body of evidence that service provision within institutional settings for older people is at least as costly</w:t>
      </w:r>
      <w:r w:rsidR="0094678E">
        <w:rPr>
          <w:lang w:val="en-NZ"/>
        </w:rPr>
        <w:t xml:space="preserve"> to society</w:t>
      </w:r>
      <w:r>
        <w:rPr>
          <w:lang w:val="en-NZ"/>
        </w:rPr>
        <w:t xml:space="preserve"> as enabling service provision within communities.</w:t>
      </w:r>
      <w:r w:rsidR="00CB0397">
        <w:rPr>
          <w:rStyle w:val="FootnoteReference"/>
          <w:lang w:val="en-NZ"/>
        </w:rPr>
        <w:footnoteReference w:id="16"/>
      </w:r>
      <w:r>
        <w:rPr>
          <w:lang w:val="en-NZ"/>
        </w:rPr>
        <w:t xml:space="preserve"> </w:t>
      </w:r>
      <w:r w:rsidR="00CB7237">
        <w:rPr>
          <w:lang w:val="en-NZ"/>
        </w:rPr>
        <w:t>Accordingly, with the private home as the primary care setting, the quality and performance of the home becomes critical to the health outcomes of older people with the need for better co-ordination between local government, housing, health and welfare sectors even more critical.</w:t>
      </w:r>
    </w:p>
    <w:p w:rsidR="00086BCE" w:rsidRDefault="00086BCE" w:rsidP="00086BCE">
      <w:pPr>
        <w:pStyle w:val="BodyText"/>
        <w:spacing w:line="320" w:lineRule="exact"/>
        <w:ind w:left="0"/>
        <w:jc w:val="both"/>
        <w:rPr>
          <w:lang w:val="en-NZ"/>
        </w:rPr>
      </w:pPr>
      <w:r w:rsidRPr="00EE7BA6">
        <w:rPr>
          <w:lang w:val="en-NZ"/>
        </w:rPr>
        <w:t>The importance of meeting the changing housing needs of older people now and in the future is recognised in key national strategies: The National Housing Strategy; the Positive Ageing Strategy and the NZ Disability Strategy.  Those strategies recognise the external costs if older people’s housing needs are unmet, and, conversely, the wider public as well as individual and familial benefits of housing that is accessible, adaptable and performs well for older people.</w:t>
      </w:r>
      <w:r w:rsidR="00EE7BA6">
        <w:rPr>
          <w:lang w:val="en-NZ"/>
        </w:rPr>
        <w:t xml:space="preserve">  There is little evidence of action in response to these strategies in the sub-region despite the demographic profile.  </w:t>
      </w:r>
    </w:p>
    <w:p w:rsidR="00CA5045" w:rsidRDefault="00CA5045" w:rsidP="00CA5045">
      <w:pPr>
        <w:pStyle w:val="BodyText"/>
        <w:spacing w:line="320" w:lineRule="exact"/>
        <w:ind w:left="0"/>
        <w:rPr>
          <w:lang w:val="en-NZ"/>
        </w:rPr>
      </w:pPr>
      <w:r>
        <w:rPr>
          <w:lang w:val="en-NZ"/>
        </w:rPr>
        <w:t>While there is considerable diversity in international research to housing across the life course, four consistent themes can be identified.  They are:</w:t>
      </w:r>
    </w:p>
    <w:p w:rsidR="00CA5045" w:rsidRDefault="00CA5045" w:rsidP="006C231E">
      <w:pPr>
        <w:pStyle w:val="BodyText"/>
        <w:numPr>
          <w:ilvl w:val="0"/>
          <w:numId w:val="2"/>
        </w:numPr>
        <w:tabs>
          <w:tab w:val="clear" w:pos="567"/>
          <w:tab w:val="num" w:pos="284"/>
        </w:tabs>
        <w:spacing w:line="320" w:lineRule="exact"/>
        <w:ind w:left="284" w:hanging="284"/>
        <w:rPr>
          <w:lang w:val="en-NZ"/>
        </w:rPr>
      </w:pPr>
      <w:r>
        <w:rPr>
          <w:lang w:val="en-NZ"/>
        </w:rPr>
        <w:t>A focus on improved cross-sectoral co-ordination and interface between decision makers and agencies;</w:t>
      </w:r>
    </w:p>
    <w:p w:rsidR="00CA5045" w:rsidRDefault="00CA5045" w:rsidP="006C231E">
      <w:pPr>
        <w:pStyle w:val="BodyText"/>
        <w:numPr>
          <w:ilvl w:val="0"/>
          <w:numId w:val="2"/>
        </w:numPr>
        <w:tabs>
          <w:tab w:val="clear" w:pos="567"/>
          <w:tab w:val="num" w:pos="284"/>
        </w:tabs>
        <w:spacing w:line="320" w:lineRule="exact"/>
        <w:ind w:left="284" w:hanging="284"/>
        <w:rPr>
          <w:lang w:val="en-NZ"/>
        </w:rPr>
      </w:pPr>
      <w:r>
        <w:rPr>
          <w:lang w:val="en-NZ"/>
        </w:rPr>
        <w:t>Initiatives to improve the performance and amenity of older people’s existing dwellings;</w:t>
      </w:r>
    </w:p>
    <w:p w:rsidR="00CA5045" w:rsidRDefault="00CA5045" w:rsidP="006C231E">
      <w:pPr>
        <w:pStyle w:val="BodyText"/>
        <w:numPr>
          <w:ilvl w:val="0"/>
          <w:numId w:val="2"/>
        </w:numPr>
        <w:tabs>
          <w:tab w:val="clear" w:pos="567"/>
          <w:tab w:val="num" w:pos="284"/>
        </w:tabs>
        <w:spacing w:line="320" w:lineRule="exact"/>
        <w:ind w:left="284" w:hanging="284"/>
        <w:rPr>
          <w:lang w:val="en-NZ"/>
        </w:rPr>
      </w:pPr>
      <w:r>
        <w:rPr>
          <w:lang w:val="en-NZ"/>
        </w:rPr>
        <w:t>Initiatives directed to improving the performance and adaptability of new dwellings across the full life-cycle;</w:t>
      </w:r>
    </w:p>
    <w:p w:rsidR="00CA5045" w:rsidRDefault="00CA5045" w:rsidP="006C231E">
      <w:pPr>
        <w:pStyle w:val="BodyText"/>
        <w:numPr>
          <w:ilvl w:val="0"/>
          <w:numId w:val="2"/>
        </w:numPr>
        <w:tabs>
          <w:tab w:val="clear" w:pos="567"/>
          <w:tab w:val="num" w:pos="284"/>
        </w:tabs>
        <w:spacing w:line="320" w:lineRule="exact"/>
        <w:ind w:left="284" w:hanging="284"/>
        <w:rPr>
          <w:lang w:val="en-NZ"/>
        </w:rPr>
      </w:pPr>
      <w:r>
        <w:rPr>
          <w:lang w:val="en-NZ"/>
        </w:rPr>
        <w:t>Initiatives to improve the security and affordability of housing for older people.</w:t>
      </w:r>
    </w:p>
    <w:p w:rsidR="00CA5045" w:rsidRDefault="00CA5045" w:rsidP="00CA5045">
      <w:pPr>
        <w:pStyle w:val="BodyText"/>
        <w:spacing w:line="320" w:lineRule="exact"/>
        <w:ind w:left="0"/>
        <w:jc w:val="both"/>
        <w:rPr>
          <w:lang w:val="en-NZ"/>
        </w:rPr>
      </w:pPr>
      <w:r>
        <w:rPr>
          <w:lang w:val="en-NZ"/>
        </w:rPr>
        <w:t>In addition, there is also an emerging trend for the housing needs of older people to be addressed within the context of neighbourhood and city planning, connectivity and service provision.</w:t>
      </w:r>
    </w:p>
    <w:p w:rsidR="00CA5045" w:rsidRPr="00D25A8E" w:rsidRDefault="00CA5045" w:rsidP="00CA5045">
      <w:pPr>
        <w:pStyle w:val="BodyText"/>
        <w:spacing w:line="320" w:lineRule="exact"/>
        <w:ind w:left="0"/>
        <w:jc w:val="both"/>
        <w:rPr>
          <w:lang w:val="en-NZ"/>
        </w:rPr>
      </w:pPr>
      <w:r>
        <w:rPr>
          <w:lang w:val="en-NZ"/>
        </w:rPr>
        <w:t xml:space="preserve">Overseas research highlights that older people appear least likely to recognise the need for improved house performance and yet dilapidated housing and the burden of maintenance and repair has been identified as major factors in prompting older people to disengage from their communities and shift into higher dependency residential environments. </w:t>
      </w:r>
    </w:p>
    <w:p w:rsidR="00CA5045" w:rsidRDefault="00CA5045" w:rsidP="00CA5045">
      <w:pPr>
        <w:pStyle w:val="BodyText"/>
        <w:spacing w:line="320" w:lineRule="exact"/>
        <w:ind w:left="0"/>
        <w:jc w:val="both"/>
        <w:rPr>
          <w:lang w:val="en-NZ"/>
        </w:rPr>
      </w:pPr>
      <w:r>
        <w:rPr>
          <w:lang w:val="en-NZ"/>
        </w:rPr>
        <w:t>English research on the topic of housing needs for older people cautions against examining current trends in housing demand as reflecting preferences and indicating future patterns of decision-making.  Equally interesting is the largely erroneous assumption that people automatically require less living space as they age.  International research often cites the ‘under-occupancy’ phenomenon where older people are living alone or as a couple within a ‘family home’.  However, respondents to the Counsel &amp; Care study in the UK indicated a desire to maintain the space they are accustomed to, with only 6% wanting less space.</w:t>
      </w:r>
    </w:p>
    <w:p w:rsidR="00CA5045" w:rsidRDefault="00CA5045" w:rsidP="00CA5045">
      <w:pPr>
        <w:spacing w:line="320" w:lineRule="exact"/>
        <w:jc w:val="both"/>
      </w:pPr>
      <w:r>
        <w:t>The implication is therefore that population ageing will not automatically lead to increased demand for smaller properties which reflects not only the fact that we are living longer but more particularly the growing number of years in which life can be of high quality: healthy, active and free of impairment.  Further, it recognises the growing role for grandparents as informal care providers to grandchildren, a trend that is set to increase and therefore supports the imperative for at least maintaining space within the home.</w:t>
      </w:r>
    </w:p>
    <w:p w:rsidR="00AB7BB1" w:rsidRPr="00AB7BB1" w:rsidRDefault="00AB7BB1" w:rsidP="00D820AC">
      <w:pPr>
        <w:pStyle w:val="BodyText"/>
        <w:ind w:left="0"/>
        <w:rPr>
          <w:lang w:val="en-NZ"/>
        </w:rPr>
      </w:pPr>
      <w:bookmarkStart w:id="20" w:name="_Toc336863665"/>
      <w:bookmarkEnd w:id="18"/>
    </w:p>
    <w:p w:rsidR="00AB7BB1" w:rsidRPr="00A52B3E" w:rsidRDefault="00AF15D4" w:rsidP="0086429D">
      <w:pPr>
        <w:pStyle w:val="Heading2"/>
        <w:rPr>
          <w:u w:val="none"/>
        </w:rPr>
      </w:pPr>
      <w:bookmarkStart w:id="21" w:name="_Toc340245229"/>
      <w:r w:rsidRPr="00A52B3E">
        <w:rPr>
          <w:u w:val="none"/>
        </w:rPr>
        <w:t>Liveable communities</w:t>
      </w:r>
      <w:bookmarkEnd w:id="21"/>
    </w:p>
    <w:p w:rsidR="009E2FF1" w:rsidRDefault="009E2FF1" w:rsidP="009E2FF1">
      <w:pPr>
        <w:pStyle w:val="BodyText"/>
        <w:spacing w:line="320" w:lineRule="exact"/>
        <w:ind w:left="0"/>
        <w:jc w:val="both"/>
        <w:rPr>
          <w:lang w:val="en-NZ"/>
        </w:rPr>
      </w:pPr>
      <w:r>
        <w:rPr>
          <w:lang w:val="en-NZ"/>
        </w:rPr>
        <w:t>The 1980s brought the birth of universal design envisioned by the late Robert L. Mace, architect and founder of the Center for Universal Design at North Carolina State University.  The term was coined to describe the concept of designing all products and the built environment to be aesthetic and usable to the greatest extent possible by everyone, regardless of their age, ability or status in life</w:t>
      </w:r>
      <w:r w:rsidR="00165458">
        <w:rPr>
          <w:lang w:val="en-NZ"/>
        </w:rPr>
        <w:t>.</w:t>
      </w:r>
      <w:r w:rsidR="00CB0397">
        <w:rPr>
          <w:rStyle w:val="FootnoteReference"/>
          <w:lang w:val="en-NZ"/>
        </w:rPr>
        <w:footnoteReference w:id="17"/>
      </w:r>
    </w:p>
    <w:p w:rsidR="009E2FF1" w:rsidRDefault="009E2FF1" w:rsidP="009E2FF1">
      <w:pPr>
        <w:pStyle w:val="BodyText"/>
        <w:spacing w:line="320" w:lineRule="exact"/>
        <w:ind w:left="0"/>
        <w:jc w:val="both"/>
        <w:rPr>
          <w:lang w:val="en-NZ"/>
        </w:rPr>
      </w:pPr>
      <w:r>
        <w:rPr>
          <w:lang w:val="en-NZ"/>
        </w:rPr>
        <w:t>More contemporary research tends to refer to universal design interchangeably with “lifetime homes”, “smart” or “green” houses. While overseas experience shows that a small set of private sector organisations see lifetime design as providing them with  competitive advantage, the majority of new home builders do not adopt these principles without active promotion and incentivisation by local</w:t>
      </w:r>
      <w:r w:rsidR="00165458">
        <w:rPr>
          <w:lang w:val="en-NZ"/>
        </w:rPr>
        <w:t>, state or national governments</w:t>
      </w:r>
      <w:r w:rsidR="00CB0397">
        <w:rPr>
          <w:rStyle w:val="FootnoteReference"/>
          <w:lang w:val="en-NZ"/>
        </w:rPr>
        <w:footnoteReference w:id="18"/>
      </w:r>
      <w:r>
        <w:rPr>
          <w:lang w:val="en-NZ"/>
        </w:rPr>
        <w:t>.</w:t>
      </w:r>
    </w:p>
    <w:p w:rsidR="00814E11" w:rsidRDefault="00814E11" w:rsidP="009E2FF1">
      <w:pPr>
        <w:pStyle w:val="BodyText"/>
        <w:spacing w:line="320" w:lineRule="exact"/>
        <w:ind w:left="0"/>
        <w:jc w:val="both"/>
        <w:rPr>
          <w:lang w:val="en-NZ"/>
        </w:rPr>
      </w:pPr>
      <w:r>
        <w:rPr>
          <w:lang w:val="en-NZ"/>
        </w:rPr>
        <w:t>In New Zealand the concept of lifetime homes and universal design has been embodied in Lifetime Design, an independent, not-for-profit organisation established by CCS Disability Action in 2006.  The role of Lifetime Design is not to build or design homes but to advocate design standards appropriate for New Zealand’s ageing population.  The Lifemark™ is set of design standards to delivery quality based on 5 key principles:</w:t>
      </w:r>
    </w:p>
    <w:p w:rsidR="00814E11" w:rsidRDefault="0059097C" w:rsidP="006C231E">
      <w:pPr>
        <w:pStyle w:val="BodyText"/>
        <w:numPr>
          <w:ilvl w:val="0"/>
          <w:numId w:val="8"/>
        </w:numPr>
        <w:spacing w:line="320" w:lineRule="exact"/>
        <w:jc w:val="both"/>
        <w:rPr>
          <w:lang w:val="en-NZ"/>
        </w:rPr>
      </w:pPr>
      <w:r>
        <w:rPr>
          <w:lang w:val="en-NZ"/>
        </w:rPr>
        <w:t>Accessibility</w:t>
      </w:r>
      <w:r w:rsidR="003D6661">
        <w:rPr>
          <w:lang w:val="en-NZ"/>
        </w:rPr>
        <w:t>;</w:t>
      </w:r>
    </w:p>
    <w:p w:rsidR="0059097C" w:rsidRDefault="0059097C" w:rsidP="006C231E">
      <w:pPr>
        <w:pStyle w:val="BodyText"/>
        <w:numPr>
          <w:ilvl w:val="0"/>
          <w:numId w:val="8"/>
        </w:numPr>
        <w:spacing w:line="320" w:lineRule="exact"/>
        <w:jc w:val="both"/>
        <w:rPr>
          <w:lang w:val="en-NZ"/>
        </w:rPr>
      </w:pPr>
      <w:r>
        <w:rPr>
          <w:lang w:val="en-NZ"/>
        </w:rPr>
        <w:t>Adaptability</w:t>
      </w:r>
      <w:r w:rsidR="003D6661">
        <w:rPr>
          <w:lang w:val="en-NZ"/>
        </w:rPr>
        <w:t>;</w:t>
      </w:r>
    </w:p>
    <w:p w:rsidR="0059097C" w:rsidRDefault="0059097C" w:rsidP="006C231E">
      <w:pPr>
        <w:pStyle w:val="BodyText"/>
        <w:numPr>
          <w:ilvl w:val="0"/>
          <w:numId w:val="8"/>
        </w:numPr>
        <w:spacing w:line="320" w:lineRule="exact"/>
        <w:jc w:val="both"/>
        <w:rPr>
          <w:lang w:val="en-NZ"/>
        </w:rPr>
      </w:pPr>
      <w:r>
        <w:rPr>
          <w:lang w:val="en-NZ"/>
        </w:rPr>
        <w:t>Usability</w:t>
      </w:r>
      <w:r w:rsidR="003D6661">
        <w:rPr>
          <w:lang w:val="en-NZ"/>
        </w:rPr>
        <w:t>;</w:t>
      </w:r>
    </w:p>
    <w:p w:rsidR="0059097C" w:rsidRDefault="0059097C" w:rsidP="006C231E">
      <w:pPr>
        <w:pStyle w:val="BodyText"/>
        <w:numPr>
          <w:ilvl w:val="0"/>
          <w:numId w:val="8"/>
        </w:numPr>
        <w:spacing w:line="320" w:lineRule="exact"/>
        <w:jc w:val="both"/>
        <w:rPr>
          <w:lang w:val="en-NZ"/>
        </w:rPr>
      </w:pPr>
      <w:r>
        <w:rPr>
          <w:lang w:val="en-NZ"/>
        </w:rPr>
        <w:t>Safety</w:t>
      </w:r>
      <w:r w:rsidR="003D6661">
        <w:rPr>
          <w:lang w:val="en-NZ"/>
        </w:rPr>
        <w:t>;</w:t>
      </w:r>
    </w:p>
    <w:p w:rsidR="0059097C" w:rsidRDefault="0059097C" w:rsidP="006C231E">
      <w:pPr>
        <w:pStyle w:val="BodyText"/>
        <w:numPr>
          <w:ilvl w:val="0"/>
          <w:numId w:val="8"/>
        </w:numPr>
        <w:spacing w:line="320" w:lineRule="exact"/>
        <w:jc w:val="both"/>
        <w:rPr>
          <w:lang w:val="en-NZ"/>
        </w:rPr>
      </w:pPr>
      <w:r>
        <w:rPr>
          <w:lang w:val="en-NZ"/>
        </w:rPr>
        <w:t>Lifetime Value</w:t>
      </w:r>
      <w:r w:rsidR="003D6661">
        <w:rPr>
          <w:lang w:val="en-NZ"/>
        </w:rPr>
        <w:t>.</w:t>
      </w:r>
    </w:p>
    <w:p w:rsidR="0059097C" w:rsidRDefault="0059097C" w:rsidP="0059097C">
      <w:pPr>
        <w:pStyle w:val="BodyText"/>
        <w:spacing w:line="320" w:lineRule="exact"/>
        <w:ind w:left="0"/>
        <w:jc w:val="both"/>
        <w:rPr>
          <w:lang w:val="en-NZ"/>
        </w:rPr>
      </w:pPr>
      <w:r>
        <w:rPr>
          <w:lang w:val="en-NZ"/>
        </w:rPr>
        <w:t>Lifetime Neighbourhoods ha</w:t>
      </w:r>
      <w:r w:rsidR="008B2203">
        <w:rPr>
          <w:lang w:val="en-NZ"/>
        </w:rPr>
        <w:t>ve</w:t>
      </w:r>
      <w:r>
        <w:rPr>
          <w:lang w:val="en-NZ"/>
        </w:rPr>
        <w:t xml:space="preserve"> emerged in recent years as a natural extension of the Lifetime Homes concept.  One of the cornerstones of healthy ageing is the concept of place.  By broadening our consideration of ‘place’ beyond the individual’s residence, we can begin to think about the contribution neighbourhoods and services play in benefitting people of all ages including young, old, working families and people with special accessibility needs. </w:t>
      </w:r>
    </w:p>
    <w:p w:rsidR="009E2FF1" w:rsidRDefault="009E2FF1" w:rsidP="009E2FF1">
      <w:pPr>
        <w:pStyle w:val="BodyText"/>
        <w:spacing w:line="320" w:lineRule="exact"/>
        <w:ind w:left="0"/>
        <w:jc w:val="both"/>
        <w:rPr>
          <w:i/>
          <w:lang w:val="en-NZ"/>
        </w:rPr>
      </w:pPr>
      <w:r>
        <w:rPr>
          <w:i/>
          <w:lang w:val="en-NZ"/>
        </w:rPr>
        <w:t>Sparked by staggering obesity rates and the awareness that major health benefits stem from moderate levels of physical activity such as walking, public health professionals are making the bu</w:t>
      </w:r>
      <w:r w:rsidR="00CB0397">
        <w:rPr>
          <w:i/>
          <w:lang w:val="en-NZ"/>
        </w:rPr>
        <w:t>ilt environment their business.</w:t>
      </w:r>
      <w:r w:rsidR="00CB0397">
        <w:rPr>
          <w:rStyle w:val="FootnoteReference"/>
          <w:i/>
          <w:lang w:val="en-NZ"/>
        </w:rPr>
        <w:footnoteReference w:id="19"/>
      </w:r>
    </w:p>
    <w:p w:rsidR="00AF15D4" w:rsidRDefault="00AF15D4" w:rsidP="009E2FF1">
      <w:pPr>
        <w:pStyle w:val="BodyText"/>
        <w:spacing w:line="320" w:lineRule="exact"/>
        <w:ind w:left="0"/>
        <w:jc w:val="both"/>
        <w:rPr>
          <w:i/>
          <w:lang w:val="en-NZ"/>
        </w:rPr>
      </w:pPr>
    </w:p>
    <w:p w:rsidR="00AF15D4" w:rsidRDefault="00AF15D4" w:rsidP="00AF15D4">
      <w:pPr>
        <w:pStyle w:val="Heading3"/>
        <w:rPr>
          <w:b/>
        </w:rPr>
      </w:pPr>
      <w:r>
        <w:rPr>
          <w:b/>
        </w:rPr>
        <w:t>How to achieve a liveable community</w:t>
      </w:r>
    </w:p>
    <w:p w:rsidR="00AF15D4" w:rsidRDefault="00AF15D4" w:rsidP="00AF15D4">
      <w:pPr>
        <w:spacing w:before="120" w:after="120" w:line="320" w:lineRule="exact"/>
        <w:jc w:val="both"/>
        <w:rPr>
          <w:lang w:val="en-GB"/>
        </w:rPr>
      </w:pPr>
      <w:r>
        <w:rPr>
          <w:lang w:val="en-GB"/>
        </w:rPr>
        <w:t>There are several important questions to ask when trying to create a community in which older people are fully integrated and well cared for:  What public services are required?  Where should services be located?  How can cross-generational contacts be made on a daily basis?  What special recreational, educational, and cultural opportunities are needed?  How can the poorest and oldest members of society be supported?  How can a community be made more affordable?  And, most important, how can older people be engaged in the planning of such a community?</w:t>
      </w:r>
    </w:p>
    <w:p w:rsidR="00FC1F37" w:rsidRDefault="00FC1F37" w:rsidP="00AF15D4">
      <w:pPr>
        <w:spacing w:before="120" w:after="120" w:line="320" w:lineRule="exact"/>
        <w:jc w:val="both"/>
        <w:rPr>
          <w:lang w:val="en-GB"/>
        </w:rPr>
      </w:pPr>
    </w:p>
    <w:p w:rsidR="00FC1F37" w:rsidRPr="00FC1F37" w:rsidRDefault="00FC1F37" w:rsidP="00FC1F37">
      <w:pPr>
        <w:pStyle w:val="Heading3"/>
        <w:rPr>
          <w:b/>
        </w:rPr>
      </w:pPr>
      <w:r w:rsidRPr="00FC1F37">
        <w:rPr>
          <w:b/>
        </w:rPr>
        <w:t>Housing options</w:t>
      </w:r>
    </w:p>
    <w:p w:rsidR="00FC1F37" w:rsidRDefault="00FC1F37" w:rsidP="00AF15D4">
      <w:pPr>
        <w:spacing w:before="120" w:after="120" w:line="320" w:lineRule="exact"/>
        <w:jc w:val="both"/>
        <w:rPr>
          <w:lang w:val="en-GB"/>
        </w:rPr>
      </w:pPr>
      <w:r>
        <w:rPr>
          <w:lang w:val="en-GB"/>
        </w:rPr>
        <w:t>A liveable community provides a range of housing types at various levels of affordability.  In addition to retirement villages and aged residential care, there should be a range of housing types available.  The options should include supportive housing arrangements that are affordable for people of low and moderate incomes.</w:t>
      </w:r>
    </w:p>
    <w:p w:rsidR="00FC1F37" w:rsidRDefault="00FC1F37" w:rsidP="00AF15D4">
      <w:pPr>
        <w:spacing w:before="120" w:after="120" w:line="320" w:lineRule="exact"/>
        <w:jc w:val="both"/>
        <w:rPr>
          <w:lang w:val="en-GB"/>
        </w:rPr>
      </w:pPr>
    </w:p>
    <w:p w:rsidR="00FC1F37" w:rsidRPr="00FC1F37" w:rsidRDefault="00FC1F37" w:rsidP="00FC1F37">
      <w:pPr>
        <w:pStyle w:val="Heading3"/>
        <w:rPr>
          <w:b/>
        </w:rPr>
      </w:pPr>
      <w:r w:rsidRPr="00FC1F37">
        <w:rPr>
          <w:b/>
        </w:rPr>
        <w:t>Planning and zoning</w:t>
      </w:r>
    </w:p>
    <w:p w:rsidR="00FC1F37" w:rsidRDefault="00FC1F37" w:rsidP="00AF15D4">
      <w:pPr>
        <w:spacing w:before="120" w:after="120" w:line="320" w:lineRule="exact"/>
        <w:jc w:val="both"/>
        <w:rPr>
          <w:lang w:val="en-GB"/>
        </w:rPr>
      </w:pPr>
      <w:r>
        <w:rPr>
          <w:lang w:val="en-GB"/>
        </w:rPr>
        <w:t xml:space="preserve">Community planning should be a transparent, participatory process.  </w:t>
      </w:r>
    </w:p>
    <w:p w:rsidR="00FC1F37" w:rsidRDefault="00FC1F37" w:rsidP="00AF15D4">
      <w:pPr>
        <w:spacing w:before="120" w:after="120" w:line="320" w:lineRule="exact"/>
        <w:jc w:val="both"/>
        <w:rPr>
          <w:i/>
          <w:lang w:val="en-GB"/>
        </w:rPr>
      </w:pPr>
      <w:r>
        <w:rPr>
          <w:i/>
          <w:lang w:val="en-GB"/>
        </w:rPr>
        <w:t>All too often, citizens and neighbourhood leaders are not engaged in land use planning unless a significant development proposal affects their own neighbourhood.  Planning concepts also tend to be expressed in highly technical terms, making constructive participation from citizens even more difficult.</w:t>
      </w:r>
      <w:r>
        <w:rPr>
          <w:rStyle w:val="FootnoteReference"/>
          <w:i/>
          <w:lang w:val="en-GB"/>
        </w:rPr>
        <w:footnoteReference w:id="20"/>
      </w:r>
    </w:p>
    <w:p w:rsidR="00FC1F37" w:rsidRDefault="00FC1F37" w:rsidP="00AF15D4">
      <w:pPr>
        <w:spacing w:before="120" w:after="120" w:line="320" w:lineRule="exact"/>
        <w:jc w:val="both"/>
        <w:rPr>
          <w:i/>
          <w:lang w:val="en-GB"/>
        </w:rPr>
      </w:pPr>
    </w:p>
    <w:p w:rsidR="00FC1F37" w:rsidRPr="00FC1F37" w:rsidRDefault="00FC1F37" w:rsidP="00FC1F37">
      <w:pPr>
        <w:pStyle w:val="Heading3"/>
        <w:rPr>
          <w:b/>
        </w:rPr>
      </w:pPr>
      <w:r w:rsidRPr="00FC1F37">
        <w:rPr>
          <w:b/>
        </w:rPr>
        <w:t>Transportation</w:t>
      </w:r>
    </w:p>
    <w:p w:rsidR="00FC1F37" w:rsidRDefault="00FC1F37" w:rsidP="00FC1F37">
      <w:pPr>
        <w:pStyle w:val="BodyText"/>
        <w:spacing w:line="320" w:lineRule="exact"/>
        <w:ind w:left="0"/>
        <w:rPr>
          <w:i/>
          <w:lang w:val="en-NZ"/>
        </w:rPr>
      </w:pPr>
      <w:r>
        <w:rPr>
          <w:i/>
          <w:lang w:val="en-NZ"/>
        </w:rPr>
        <w:t>As the baby boomers age, communities will have come to terms with land use patterns that assume that older adults can drive themselves anywhere at any t</w:t>
      </w:r>
      <w:r w:rsidR="00B81368">
        <w:rPr>
          <w:i/>
          <w:lang w:val="en-NZ"/>
        </w:rPr>
        <w:t xml:space="preserve">ime just as younger people do. </w:t>
      </w:r>
    </w:p>
    <w:p w:rsidR="00AB7BB1" w:rsidRDefault="00B81368" w:rsidP="00B81368">
      <w:pPr>
        <w:pStyle w:val="BodyText"/>
        <w:spacing w:line="320" w:lineRule="exact"/>
        <w:ind w:left="0"/>
        <w:jc w:val="both"/>
        <w:rPr>
          <w:lang w:val="en-NZ"/>
        </w:rPr>
      </w:pPr>
      <w:r>
        <w:rPr>
          <w:lang w:val="en-NZ"/>
        </w:rPr>
        <w:t xml:space="preserve">To live independently, older New Zealanders must be able to maintain a mobile lifestyle, and in most communities, that means owning and driving a car.  Enabling older adults to remain mobile and engaged in their communities requires transportation planning and repurposing of streets to include pedestrians, bicyclists and cars.  </w:t>
      </w:r>
    </w:p>
    <w:p w:rsidR="00B81368" w:rsidRDefault="00B81368" w:rsidP="00B81368">
      <w:pPr>
        <w:pStyle w:val="BodyText"/>
        <w:spacing w:line="320" w:lineRule="exact"/>
        <w:ind w:left="0"/>
        <w:jc w:val="both"/>
        <w:rPr>
          <w:lang w:val="en-NZ"/>
        </w:rPr>
      </w:pPr>
      <w:r>
        <w:rPr>
          <w:lang w:val="en-NZ"/>
        </w:rPr>
        <w:t>Older drivers generally limit their trips as they age, which can increase isolation.  Older drivers tend to experience difficulties driving at night, reading traffic signs and turning at busy intersections.  Small modifications such as brighter stoplights and pavement markings, larger lettering on street signs and directional signs can make a demonstrable difference.</w:t>
      </w:r>
      <w:r>
        <w:rPr>
          <w:rStyle w:val="FootnoteReference"/>
          <w:lang w:val="en-NZ"/>
        </w:rPr>
        <w:footnoteReference w:id="21"/>
      </w:r>
    </w:p>
    <w:p w:rsidR="00B81368" w:rsidRDefault="00B81368" w:rsidP="00B81368">
      <w:pPr>
        <w:pStyle w:val="BodyText"/>
        <w:spacing w:line="320" w:lineRule="exact"/>
        <w:ind w:left="0"/>
        <w:jc w:val="both"/>
        <w:rPr>
          <w:lang w:val="en-NZ"/>
        </w:rPr>
      </w:pPr>
      <w:r>
        <w:rPr>
          <w:lang w:val="en-NZ"/>
        </w:rPr>
        <w:t xml:space="preserve">Older people, particularly those who have retired from the workforce, generally tend to have different patterns than many ‘traditional’ public transport users who commute primarily to and from work.  </w:t>
      </w:r>
      <w:r w:rsidR="00E13767">
        <w:rPr>
          <w:lang w:val="en-NZ"/>
        </w:rPr>
        <w:t xml:space="preserve">For older people who are not familiar with public transport assistance in understanding and using these services is needed.  </w:t>
      </w:r>
    </w:p>
    <w:p w:rsidR="00E13767" w:rsidRDefault="00E13767" w:rsidP="00B81368">
      <w:pPr>
        <w:pStyle w:val="BodyText"/>
        <w:spacing w:line="320" w:lineRule="exact"/>
        <w:ind w:left="0"/>
        <w:jc w:val="both"/>
        <w:rPr>
          <w:lang w:val="en-NZ"/>
        </w:rPr>
      </w:pPr>
    </w:p>
    <w:p w:rsidR="00D25A8E" w:rsidRPr="00CB6C87" w:rsidRDefault="00AC0BD3" w:rsidP="00AC0BD3">
      <w:pPr>
        <w:pStyle w:val="Heading2"/>
        <w:rPr>
          <w:u w:val="none"/>
        </w:rPr>
      </w:pPr>
      <w:bookmarkStart w:id="22" w:name="_Toc336863666"/>
      <w:bookmarkStart w:id="23" w:name="_Toc340245230"/>
      <w:bookmarkEnd w:id="20"/>
      <w:r w:rsidRPr="00CB6C87">
        <w:rPr>
          <w:u w:val="none"/>
        </w:rPr>
        <w:t xml:space="preserve">The </w:t>
      </w:r>
      <w:bookmarkEnd w:id="22"/>
      <w:r w:rsidR="006A34EC" w:rsidRPr="00CB6C87">
        <w:rPr>
          <w:u w:val="none"/>
        </w:rPr>
        <w:t>New Zealand and sub-regional context</w:t>
      </w:r>
      <w:bookmarkEnd w:id="23"/>
    </w:p>
    <w:p w:rsidR="003347EF" w:rsidRDefault="003347EF" w:rsidP="00277400">
      <w:pPr>
        <w:pStyle w:val="BodyText"/>
        <w:spacing w:line="320" w:lineRule="exact"/>
        <w:ind w:left="0"/>
        <w:jc w:val="both"/>
        <w:rPr>
          <w:lang w:val="en-NZ"/>
        </w:rPr>
      </w:pPr>
      <w:r>
        <w:rPr>
          <w:lang w:val="en-NZ"/>
        </w:rPr>
        <w:t xml:space="preserve">It is anticipated that by 2050 there will be at least 800,000 households </w:t>
      </w:r>
      <w:r w:rsidR="006A1AB1">
        <w:rPr>
          <w:lang w:val="en-NZ"/>
        </w:rPr>
        <w:t xml:space="preserve">headed by </w:t>
      </w:r>
      <w:r>
        <w:rPr>
          <w:lang w:val="en-NZ"/>
        </w:rPr>
        <w:t xml:space="preserve">older people in New Zealand.  About a quarter of the population will be </w:t>
      </w:r>
      <w:r w:rsidR="008B2203">
        <w:rPr>
          <w:lang w:val="en-NZ"/>
        </w:rPr>
        <w:t>65+</w:t>
      </w:r>
      <w:r w:rsidR="006A1AB1">
        <w:rPr>
          <w:lang w:val="en-NZ"/>
        </w:rPr>
        <w:t xml:space="preserve"> years</w:t>
      </w:r>
      <w:r>
        <w:rPr>
          <w:lang w:val="en-NZ"/>
        </w:rPr>
        <w:t xml:space="preserve">.  Most people </w:t>
      </w:r>
      <w:r w:rsidR="006A1AB1">
        <w:rPr>
          <w:lang w:val="en-NZ"/>
        </w:rPr>
        <w:t xml:space="preserve">65+ </w:t>
      </w:r>
      <w:r>
        <w:rPr>
          <w:lang w:val="en-NZ"/>
        </w:rPr>
        <w:t>will live in their own homes, but the numbers of households headed by an older person in the rental market will more than double.  Older people will typically live alone or with an older partner</w:t>
      </w:r>
      <w:r w:rsidR="006A1AB1">
        <w:rPr>
          <w:lang w:val="en-NZ"/>
        </w:rPr>
        <w:t>, with the older-old living alone</w:t>
      </w:r>
      <w:r>
        <w:rPr>
          <w:lang w:val="en-NZ"/>
        </w:rPr>
        <w:t>.  More than a million older people will not be in paid labour and well over half a million can be expected to have a disability that impairs their mobility.  Around 325,000 older people will not have a drivers licence and even more are likely to be dependant on public transport, walking or on others.</w:t>
      </w:r>
      <w:r>
        <w:rPr>
          <w:rStyle w:val="FootnoteReference"/>
          <w:lang w:val="en-NZ"/>
        </w:rPr>
        <w:footnoteReference w:id="22"/>
      </w:r>
      <w:r>
        <w:rPr>
          <w:lang w:val="en-NZ"/>
        </w:rPr>
        <w:t xml:space="preserve"> </w:t>
      </w:r>
    </w:p>
    <w:p w:rsidR="00141445" w:rsidRDefault="00141445" w:rsidP="009E2FF1">
      <w:pPr>
        <w:pStyle w:val="BodyText"/>
        <w:spacing w:line="320" w:lineRule="exact"/>
        <w:ind w:left="0"/>
        <w:jc w:val="both"/>
        <w:rPr>
          <w:lang w:val="en-NZ"/>
        </w:rPr>
      </w:pPr>
      <w:r>
        <w:rPr>
          <w:lang w:val="en-NZ"/>
        </w:rPr>
        <w:t>The existing general housing stock in New Zealand is built on the assumption that occupants will be able bodied and without any sensory or cognitive impairment.</w:t>
      </w:r>
    </w:p>
    <w:p w:rsidR="00141445" w:rsidRDefault="00141445" w:rsidP="009E2FF1">
      <w:pPr>
        <w:pStyle w:val="BodyText"/>
        <w:spacing w:line="320" w:lineRule="exact"/>
        <w:ind w:left="0"/>
        <w:jc w:val="both"/>
        <w:rPr>
          <w:lang w:val="en-NZ"/>
        </w:rPr>
      </w:pPr>
      <w:r>
        <w:rPr>
          <w:lang w:val="en-NZ"/>
        </w:rPr>
        <w:t>Notwithstanding the dearth of research specific to the issue of New Zealand’s (and indeed the sub-regions) ageing population and housing needs, it is fair to say that presently responses to the housing needs of older people usually occur only when an individual faces a crisis or is in considerable difficulty and comes to the attention of agencies.  In the housing field there is little or no integrated strategic planning in response to the fact that there will be an increasing number of people living into old age in owner occupied or rented homes that are themselves old.  This fragmented, uncoordinated approach will become increasingly untenable given the trends outlined in this report.</w:t>
      </w:r>
    </w:p>
    <w:p w:rsidR="00141445" w:rsidRDefault="002C0D44" w:rsidP="009E2FF1">
      <w:pPr>
        <w:pStyle w:val="BodyText"/>
        <w:spacing w:line="320" w:lineRule="exact"/>
        <w:ind w:left="0"/>
        <w:jc w:val="both"/>
        <w:rPr>
          <w:lang w:val="en-NZ"/>
        </w:rPr>
      </w:pPr>
      <w:r>
        <w:rPr>
          <w:lang w:val="en-NZ"/>
        </w:rPr>
        <w:t>There are a range of factors that have limited the extent of strategic planning both nationally and locally to meet the housing needs of people as they age including:</w:t>
      </w:r>
    </w:p>
    <w:p w:rsidR="002C0D44" w:rsidRDefault="006A1AB1" w:rsidP="006C231E">
      <w:pPr>
        <w:pStyle w:val="BodyText"/>
        <w:numPr>
          <w:ilvl w:val="0"/>
          <w:numId w:val="7"/>
        </w:numPr>
        <w:spacing w:line="320" w:lineRule="exact"/>
        <w:jc w:val="both"/>
        <w:rPr>
          <w:lang w:val="en-NZ"/>
        </w:rPr>
      </w:pPr>
      <w:r>
        <w:rPr>
          <w:lang w:val="en-NZ"/>
        </w:rPr>
        <w:t xml:space="preserve">The focus on </w:t>
      </w:r>
      <w:r w:rsidR="002C0D44">
        <w:rPr>
          <w:lang w:val="en-NZ"/>
        </w:rPr>
        <w:t>affordable housing particularly for young families</w:t>
      </w:r>
      <w:r w:rsidR="003D6661">
        <w:rPr>
          <w:lang w:val="en-NZ"/>
        </w:rPr>
        <w:t>;</w:t>
      </w:r>
    </w:p>
    <w:p w:rsidR="002C0D44" w:rsidRDefault="002C0D44" w:rsidP="006C231E">
      <w:pPr>
        <w:pStyle w:val="BodyText"/>
        <w:numPr>
          <w:ilvl w:val="0"/>
          <w:numId w:val="7"/>
        </w:numPr>
        <w:spacing w:line="320" w:lineRule="exact"/>
        <w:jc w:val="both"/>
        <w:rPr>
          <w:lang w:val="en-NZ"/>
        </w:rPr>
      </w:pPr>
      <w:r>
        <w:rPr>
          <w:lang w:val="en-NZ"/>
        </w:rPr>
        <w:t>Lack of localised information/research on how risks related to ageing translate into housing needs</w:t>
      </w:r>
      <w:r w:rsidR="003D6661">
        <w:rPr>
          <w:lang w:val="en-NZ"/>
        </w:rPr>
        <w:t>;</w:t>
      </w:r>
    </w:p>
    <w:p w:rsidR="002C0D44" w:rsidRDefault="002C0D44" w:rsidP="006C231E">
      <w:pPr>
        <w:pStyle w:val="BodyText"/>
        <w:numPr>
          <w:ilvl w:val="0"/>
          <w:numId w:val="7"/>
        </w:numPr>
        <w:spacing w:line="320" w:lineRule="exact"/>
        <w:jc w:val="both"/>
        <w:rPr>
          <w:lang w:val="en-NZ"/>
        </w:rPr>
      </w:pPr>
      <w:r>
        <w:rPr>
          <w:lang w:val="en-NZ"/>
        </w:rPr>
        <w:t>Lack of localised information/research about what people want and how they make housing choices.</w:t>
      </w:r>
    </w:p>
    <w:p w:rsidR="0054237E" w:rsidRDefault="002C0D44" w:rsidP="0054237E">
      <w:pPr>
        <w:pStyle w:val="BodyText"/>
        <w:spacing w:line="320" w:lineRule="exact"/>
        <w:ind w:left="0"/>
        <w:jc w:val="both"/>
        <w:rPr>
          <w:lang w:val="en-NZ"/>
        </w:rPr>
      </w:pPr>
      <w:r>
        <w:rPr>
          <w:lang w:val="en-NZ"/>
        </w:rPr>
        <w:t xml:space="preserve">The last two factors are critical because </w:t>
      </w:r>
      <w:r w:rsidR="00407675">
        <w:rPr>
          <w:lang w:val="en-NZ"/>
        </w:rPr>
        <w:t>where ever</w:t>
      </w:r>
      <w:r>
        <w:rPr>
          <w:lang w:val="en-NZ"/>
        </w:rPr>
        <w:t xml:space="preserve"> agencies recognise the need to plan in response to ageing, efforts can be hampered by lack of evidence based approaches linking demographic data with housing need and preferences.  This</w:t>
      </w:r>
      <w:r w:rsidR="0054237E">
        <w:rPr>
          <w:lang w:val="en-NZ"/>
        </w:rPr>
        <w:t xml:space="preserve"> highlights the need for better local data o</w:t>
      </w:r>
      <w:r>
        <w:rPr>
          <w:lang w:val="en-NZ"/>
        </w:rPr>
        <w:t>n older people’s housing and how it translates into demand</w:t>
      </w:r>
      <w:r w:rsidR="00165458">
        <w:rPr>
          <w:lang w:val="en-NZ"/>
        </w:rPr>
        <w:t>.</w:t>
      </w:r>
    </w:p>
    <w:p w:rsidR="0054237E" w:rsidRDefault="0054237E" w:rsidP="0054237E">
      <w:pPr>
        <w:pStyle w:val="BodyText"/>
        <w:spacing w:line="320" w:lineRule="exact"/>
        <w:ind w:left="0"/>
        <w:jc w:val="both"/>
        <w:rPr>
          <w:lang w:val="en-NZ"/>
        </w:rPr>
      </w:pPr>
    </w:p>
    <w:p w:rsidR="0054237E" w:rsidRPr="0054237E" w:rsidRDefault="0054237E" w:rsidP="0054237E">
      <w:pPr>
        <w:pStyle w:val="Heading3"/>
        <w:spacing w:before="120" w:after="120" w:line="320" w:lineRule="exact"/>
        <w:rPr>
          <w:b/>
        </w:rPr>
      </w:pPr>
      <w:r w:rsidRPr="0054237E">
        <w:rPr>
          <w:b/>
        </w:rPr>
        <w:t>Age-Friendly Cities</w:t>
      </w:r>
    </w:p>
    <w:p w:rsidR="00AD01E2" w:rsidRDefault="00AD01E2" w:rsidP="00AD01E2">
      <w:pPr>
        <w:spacing w:before="120" w:after="120" w:line="320" w:lineRule="exact"/>
        <w:jc w:val="both"/>
      </w:pPr>
      <w:r w:rsidRPr="007872FD">
        <w:t>The Age-Friendly Cities movement initiated by the World Health Organisation is creating social and economic change throughout the world. Nations and States are embracing the recognition that maintaining the independence of ageing populations is an economic imperative. Large cities such as New York and London, towns, villages and communities are adapting and innovating.</w:t>
      </w:r>
      <w:r>
        <w:t xml:space="preserve"> </w:t>
      </w:r>
      <w:r w:rsidRPr="007872FD">
        <w:t xml:space="preserve"> Initiatives and policy alignment </w:t>
      </w:r>
      <w:r>
        <w:t>triggered</w:t>
      </w:r>
      <w:r w:rsidRPr="007872FD">
        <w:t xml:space="preserve"> by older people themselves is resulting in improvements that enhance the quality of life for elder citizens. The recognition of this imperative has been slow in New Zealand, but the fact that Tauranga City, the first in New Zealand, is embarking on this journey will inevitably provide valuable leadership.  </w:t>
      </w:r>
    </w:p>
    <w:p w:rsidR="001901E3" w:rsidRDefault="00AD01E2" w:rsidP="001901E3">
      <w:pPr>
        <w:spacing w:before="120" w:after="120" w:line="320" w:lineRule="exact"/>
        <w:jc w:val="both"/>
      </w:pPr>
      <w:r w:rsidRPr="0054237E">
        <w:t xml:space="preserve">A key element in a revised SmartGrowth Strategy would include actions to encourage all communities to become Age-Friendly through local initiatives supported by the two Territorial Authorities and the Regional Council. The Bay of Plenty District Health Board has much to gain from social change that compresses morbidity, reduces hospital admissions and rest home care demand.  Investment in mobilising and enabling community care networks and service provision will be a vital strategic component within age-friendly community based </w:t>
      </w:r>
      <w:r w:rsidRPr="001901E3">
        <w:t>developments.</w:t>
      </w:r>
    </w:p>
    <w:p w:rsidR="00CB6C87" w:rsidRDefault="00CB6C87" w:rsidP="001901E3">
      <w:pPr>
        <w:spacing w:before="120" w:after="120" w:line="320" w:lineRule="exact"/>
        <w:jc w:val="both"/>
      </w:pPr>
    </w:p>
    <w:p w:rsidR="00A52B3E" w:rsidRDefault="00A52B3E" w:rsidP="001901E3">
      <w:pPr>
        <w:spacing w:before="120" w:after="120" w:line="320" w:lineRule="exact"/>
        <w:jc w:val="both"/>
      </w:pPr>
    </w:p>
    <w:p w:rsidR="00A52B3E" w:rsidRDefault="00A52B3E" w:rsidP="001901E3">
      <w:pPr>
        <w:spacing w:before="120" w:after="120" w:line="320" w:lineRule="exact"/>
        <w:jc w:val="both"/>
      </w:pPr>
    </w:p>
    <w:p w:rsidR="00A52B3E" w:rsidRDefault="00A52B3E" w:rsidP="001901E3">
      <w:pPr>
        <w:spacing w:before="120" w:after="120" w:line="320" w:lineRule="exact"/>
        <w:jc w:val="both"/>
      </w:pPr>
    </w:p>
    <w:p w:rsidR="0054237E" w:rsidRDefault="006E222F" w:rsidP="001901E3">
      <w:pPr>
        <w:pStyle w:val="Heading2"/>
        <w:spacing w:before="120" w:after="120" w:line="320" w:lineRule="exact"/>
        <w:rPr>
          <w:u w:val="none"/>
        </w:rPr>
      </w:pPr>
      <w:bookmarkStart w:id="24" w:name="_Toc340245231"/>
      <w:r>
        <w:rPr>
          <w:u w:val="none"/>
        </w:rPr>
        <w:t>Actions for the updated SmartGrowth Strategy</w:t>
      </w:r>
      <w:bookmarkEnd w:id="24"/>
    </w:p>
    <w:tbl>
      <w:tblPr>
        <w:tblStyle w:val="TableGrid"/>
        <w:tblW w:w="9214" w:type="dxa"/>
        <w:tblInd w:w="108" w:type="dxa"/>
        <w:tblLayout w:type="fixed"/>
        <w:tblLook w:val="04A0" w:firstRow="1" w:lastRow="0" w:firstColumn="1" w:lastColumn="0" w:noHBand="0" w:noVBand="1"/>
      </w:tblPr>
      <w:tblGrid>
        <w:gridCol w:w="3544"/>
        <w:gridCol w:w="1418"/>
        <w:gridCol w:w="1417"/>
        <w:gridCol w:w="1276"/>
        <w:gridCol w:w="1559"/>
      </w:tblGrid>
      <w:tr w:rsidR="006E222F" w:rsidRPr="00D2329C" w:rsidTr="006E222F">
        <w:tc>
          <w:tcPr>
            <w:tcW w:w="3544" w:type="dxa"/>
            <w:shd w:val="clear" w:color="auto" w:fill="D9D9D9" w:themeFill="background1" w:themeFillShade="D9"/>
          </w:tcPr>
          <w:p w:rsidR="006E222F" w:rsidRPr="00D2329C" w:rsidRDefault="006E222F" w:rsidP="006E222F">
            <w:pPr>
              <w:pStyle w:val="BodyText"/>
              <w:ind w:left="0"/>
              <w:rPr>
                <w:b/>
                <w:lang w:val="en-NZ"/>
              </w:rPr>
            </w:pPr>
            <w:r w:rsidRPr="00D2329C">
              <w:rPr>
                <w:b/>
                <w:lang w:val="en-NZ"/>
              </w:rPr>
              <w:t>Action</w:t>
            </w:r>
          </w:p>
        </w:tc>
        <w:tc>
          <w:tcPr>
            <w:tcW w:w="1418" w:type="dxa"/>
            <w:shd w:val="clear" w:color="auto" w:fill="D9D9D9" w:themeFill="background1" w:themeFillShade="D9"/>
          </w:tcPr>
          <w:p w:rsidR="006E222F" w:rsidRPr="00D2329C" w:rsidRDefault="006E222F" w:rsidP="006E222F">
            <w:pPr>
              <w:pStyle w:val="BodyText"/>
              <w:ind w:left="0"/>
              <w:rPr>
                <w:b/>
                <w:lang w:val="en-NZ"/>
              </w:rPr>
            </w:pPr>
            <w:r w:rsidRPr="00D2329C">
              <w:rPr>
                <w:b/>
                <w:lang w:val="en-NZ"/>
              </w:rPr>
              <w:t>Lead Agency</w:t>
            </w:r>
          </w:p>
        </w:tc>
        <w:tc>
          <w:tcPr>
            <w:tcW w:w="1417" w:type="dxa"/>
            <w:shd w:val="clear" w:color="auto" w:fill="D9D9D9" w:themeFill="background1" w:themeFillShade="D9"/>
          </w:tcPr>
          <w:p w:rsidR="006E222F" w:rsidRPr="00D2329C" w:rsidRDefault="006E222F" w:rsidP="006E222F">
            <w:pPr>
              <w:pStyle w:val="BodyText"/>
              <w:ind w:left="0"/>
              <w:rPr>
                <w:b/>
                <w:lang w:val="en-NZ"/>
              </w:rPr>
            </w:pPr>
            <w:r w:rsidRPr="00D2329C">
              <w:rPr>
                <w:b/>
                <w:lang w:val="en-NZ"/>
              </w:rPr>
              <w:t>Time</w:t>
            </w:r>
          </w:p>
        </w:tc>
        <w:tc>
          <w:tcPr>
            <w:tcW w:w="1276" w:type="dxa"/>
            <w:shd w:val="clear" w:color="auto" w:fill="D9D9D9" w:themeFill="background1" w:themeFillShade="D9"/>
          </w:tcPr>
          <w:p w:rsidR="006E222F" w:rsidRPr="00D2329C" w:rsidRDefault="006E222F" w:rsidP="006E222F">
            <w:pPr>
              <w:pStyle w:val="BodyText"/>
              <w:ind w:left="0"/>
              <w:rPr>
                <w:b/>
                <w:lang w:val="en-NZ"/>
              </w:rPr>
            </w:pPr>
            <w:r w:rsidRPr="00D2329C">
              <w:rPr>
                <w:b/>
                <w:lang w:val="en-NZ"/>
              </w:rPr>
              <w:t xml:space="preserve">Funding </w:t>
            </w:r>
          </w:p>
        </w:tc>
        <w:tc>
          <w:tcPr>
            <w:tcW w:w="1559" w:type="dxa"/>
            <w:shd w:val="clear" w:color="auto" w:fill="D9D9D9" w:themeFill="background1" w:themeFillShade="D9"/>
          </w:tcPr>
          <w:p w:rsidR="006E222F" w:rsidRPr="00D2329C" w:rsidRDefault="006E222F" w:rsidP="006E222F">
            <w:pPr>
              <w:pStyle w:val="BodyText"/>
              <w:ind w:left="0"/>
              <w:rPr>
                <w:b/>
                <w:lang w:val="en-NZ"/>
              </w:rPr>
            </w:pPr>
            <w:r w:rsidRPr="00D2329C">
              <w:rPr>
                <w:b/>
                <w:lang w:val="en-NZ"/>
              </w:rPr>
              <w:t>Measure of Success</w:t>
            </w:r>
          </w:p>
        </w:tc>
      </w:tr>
      <w:tr w:rsidR="006E222F" w:rsidTr="006E222F">
        <w:trPr>
          <w:trHeight w:val="2731"/>
        </w:trPr>
        <w:tc>
          <w:tcPr>
            <w:tcW w:w="3544" w:type="dxa"/>
          </w:tcPr>
          <w:p w:rsidR="006E222F" w:rsidRPr="006923EA" w:rsidRDefault="006E222F" w:rsidP="006E222F">
            <w:pPr>
              <w:pStyle w:val="Heading3"/>
              <w:numPr>
                <w:ilvl w:val="0"/>
                <w:numId w:val="35"/>
              </w:numPr>
              <w:spacing w:before="120" w:after="120" w:line="320" w:lineRule="exact"/>
              <w:ind w:left="318" w:hanging="318"/>
              <w:jc w:val="both"/>
            </w:pPr>
            <w:r>
              <w:t>In its strategic role, SmartGrowth undertake an investigation into the requirements of liveable communities, including the requirements of an ageing population, to provide an evidence basis for co-investment with central government to implement the settlement pattern.</w:t>
            </w:r>
          </w:p>
        </w:tc>
        <w:tc>
          <w:tcPr>
            <w:tcW w:w="1418" w:type="dxa"/>
          </w:tcPr>
          <w:p w:rsidR="006E222F" w:rsidRDefault="006E222F" w:rsidP="006E222F">
            <w:pPr>
              <w:pStyle w:val="BodyText"/>
              <w:ind w:left="0"/>
              <w:rPr>
                <w:lang w:val="en-NZ"/>
              </w:rPr>
            </w:pPr>
            <w:r>
              <w:rPr>
                <w:lang w:val="en-NZ"/>
              </w:rPr>
              <w:t>Smart Growth</w:t>
            </w:r>
          </w:p>
        </w:tc>
        <w:tc>
          <w:tcPr>
            <w:tcW w:w="1417" w:type="dxa"/>
          </w:tcPr>
          <w:p w:rsidR="006E222F" w:rsidRDefault="006E222F" w:rsidP="006E222F">
            <w:pPr>
              <w:pStyle w:val="BodyText"/>
              <w:ind w:left="0"/>
              <w:rPr>
                <w:lang w:val="en-NZ"/>
              </w:rPr>
            </w:pPr>
            <w:r>
              <w:rPr>
                <w:lang w:val="en-NZ"/>
              </w:rPr>
              <w:t>Short</w:t>
            </w:r>
          </w:p>
        </w:tc>
        <w:tc>
          <w:tcPr>
            <w:tcW w:w="1276" w:type="dxa"/>
          </w:tcPr>
          <w:p w:rsidR="006E222F" w:rsidRDefault="006E222F" w:rsidP="006E222F">
            <w:pPr>
              <w:pStyle w:val="BodyText"/>
              <w:ind w:left="0"/>
              <w:rPr>
                <w:lang w:val="en-NZ"/>
              </w:rPr>
            </w:pPr>
          </w:p>
        </w:tc>
        <w:tc>
          <w:tcPr>
            <w:tcW w:w="1559" w:type="dxa"/>
          </w:tcPr>
          <w:p w:rsidR="006E222F" w:rsidRDefault="006E222F" w:rsidP="006E222F">
            <w:pPr>
              <w:pStyle w:val="BodyText"/>
              <w:spacing w:line="320" w:lineRule="exact"/>
              <w:ind w:left="0"/>
              <w:rPr>
                <w:lang w:val="en-NZ"/>
              </w:rPr>
            </w:pPr>
            <w:r>
              <w:rPr>
                <w:lang w:val="en-NZ"/>
              </w:rPr>
              <w:t>Investigation undertaken and recommendations formulated</w:t>
            </w:r>
          </w:p>
        </w:tc>
      </w:tr>
      <w:tr w:rsidR="006E222F" w:rsidTr="006E222F">
        <w:tc>
          <w:tcPr>
            <w:tcW w:w="3544" w:type="dxa"/>
          </w:tcPr>
          <w:p w:rsidR="006E222F" w:rsidRDefault="006E222F" w:rsidP="006E222F">
            <w:pPr>
              <w:pStyle w:val="Heading3"/>
              <w:numPr>
                <w:ilvl w:val="0"/>
                <w:numId w:val="0"/>
              </w:numPr>
              <w:spacing w:before="120" w:after="120" w:line="320" w:lineRule="exact"/>
              <w:jc w:val="both"/>
            </w:pPr>
            <w:r>
              <w:t>In its ‘place making’ role, SmartGrowth:</w:t>
            </w:r>
          </w:p>
          <w:p w:rsidR="006E222F" w:rsidRDefault="006E222F" w:rsidP="006E222F">
            <w:pPr>
              <w:pStyle w:val="Heading3"/>
              <w:numPr>
                <w:ilvl w:val="0"/>
                <w:numId w:val="35"/>
              </w:numPr>
              <w:spacing w:before="120" w:after="120" w:line="320" w:lineRule="exact"/>
              <w:ind w:left="318" w:hanging="318"/>
              <w:jc w:val="both"/>
            </w:pPr>
            <w:r>
              <w:t>take the lead in bringing together local housing providers, the social sector forum, social care services, and the voluntary sector to identify the barriers and recommend  policies to ensure well-designed, affordable homes, having regard to the ethos of Lifetime Homes (universal design), Lifetime Neighbourhoods and the desire of people to age-in-place;</w:t>
            </w:r>
          </w:p>
          <w:p w:rsidR="006E222F" w:rsidRPr="00D2329C" w:rsidRDefault="006E222F" w:rsidP="006E222F">
            <w:pPr>
              <w:pStyle w:val="ListParagraph"/>
              <w:numPr>
                <w:ilvl w:val="0"/>
                <w:numId w:val="33"/>
              </w:numPr>
              <w:spacing w:before="120" w:after="120" w:line="320" w:lineRule="exact"/>
              <w:ind w:left="318" w:hanging="284"/>
              <w:jc w:val="both"/>
              <w:rPr>
                <w:rFonts w:ascii="Arial" w:hAnsi="Arial" w:cs="Arial"/>
                <w:lang w:val="en-GB"/>
              </w:rPr>
            </w:pPr>
            <w:r w:rsidRPr="00D2329C">
              <w:rPr>
                <w:rFonts w:ascii="Arial" w:hAnsi="Arial" w:cs="Arial"/>
                <w:lang w:val="en-GB"/>
              </w:rPr>
              <w:t>undertake a cost and market assessment of universal design housing as the basis for a factsheet for promotion of this type of housing.</w:t>
            </w:r>
          </w:p>
        </w:tc>
        <w:tc>
          <w:tcPr>
            <w:tcW w:w="1418" w:type="dxa"/>
          </w:tcPr>
          <w:p w:rsidR="006E222F" w:rsidRDefault="006E222F" w:rsidP="006E222F">
            <w:pPr>
              <w:pStyle w:val="BodyText"/>
              <w:spacing w:line="320" w:lineRule="exact"/>
              <w:ind w:left="0"/>
              <w:rPr>
                <w:lang w:val="en-NZ"/>
              </w:rPr>
            </w:pPr>
            <w:r>
              <w:rPr>
                <w:lang w:val="en-NZ"/>
              </w:rPr>
              <w:t>Smart Growth</w:t>
            </w:r>
          </w:p>
        </w:tc>
        <w:tc>
          <w:tcPr>
            <w:tcW w:w="1417" w:type="dxa"/>
          </w:tcPr>
          <w:p w:rsidR="006E222F" w:rsidRDefault="006E222F" w:rsidP="006E222F">
            <w:pPr>
              <w:pStyle w:val="BodyText"/>
              <w:ind w:left="0"/>
              <w:rPr>
                <w:lang w:val="en-NZ"/>
              </w:rPr>
            </w:pPr>
            <w:r>
              <w:rPr>
                <w:lang w:val="en-NZ"/>
              </w:rPr>
              <w:t>Short</w:t>
            </w:r>
          </w:p>
        </w:tc>
        <w:tc>
          <w:tcPr>
            <w:tcW w:w="1276" w:type="dxa"/>
          </w:tcPr>
          <w:p w:rsidR="006E222F" w:rsidRDefault="006E222F" w:rsidP="006E222F">
            <w:pPr>
              <w:pStyle w:val="BodyText"/>
              <w:ind w:left="0"/>
              <w:rPr>
                <w:lang w:val="en-NZ"/>
              </w:rPr>
            </w:pPr>
          </w:p>
        </w:tc>
        <w:tc>
          <w:tcPr>
            <w:tcW w:w="1559" w:type="dxa"/>
          </w:tcPr>
          <w:p w:rsidR="006E222F" w:rsidRDefault="006E222F" w:rsidP="006E222F">
            <w:pPr>
              <w:pStyle w:val="BodyText"/>
              <w:spacing w:line="320" w:lineRule="exact"/>
              <w:ind w:left="0"/>
              <w:rPr>
                <w:lang w:val="en-NZ"/>
              </w:rPr>
            </w:pPr>
            <w:r>
              <w:rPr>
                <w:lang w:val="en-NZ"/>
              </w:rPr>
              <w:t>Policy approaches developed</w:t>
            </w: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r>
              <w:rPr>
                <w:lang w:val="en-NZ"/>
              </w:rPr>
              <w:t>Factsheet developed</w:t>
            </w: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tc>
      </w:tr>
    </w:tbl>
    <w:p w:rsidR="006E222F" w:rsidRPr="006E222F" w:rsidRDefault="006E222F" w:rsidP="006E222F">
      <w:pPr>
        <w:pStyle w:val="BodyText"/>
        <w:ind w:left="0"/>
        <w:rPr>
          <w:lang w:val="en-NZ"/>
        </w:rPr>
      </w:pPr>
    </w:p>
    <w:p w:rsidR="00920223" w:rsidRDefault="00920223" w:rsidP="00920223"/>
    <w:p w:rsidR="006E222F" w:rsidRDefault="006E222F" w:rsidP="00920223"/>
    <w:p w:rsidR="006E222F" w:rsidRDefault="006E222F" w:rsidP="00920223"/>
    <w:p w:rsidR="006E222F" w:rsidRDefault="006E222F" w:rsidP="00920223"/>
    <w:p w:rsidR="006E222F" w:rsidRDefault="006E222F" w:rsidP="00920223"/>
    <w:p w:rsidR="006E222F" w:rsidRDefault="006E222F" w:rsidP="00920223"/>
    <w:p w:rsidR="006E222F" w:rsidRDefault="006E222F" w:rsidP="00920223"/>
    <w:p w:rsidR="006E222F" w:rsidRPr="00920223" w:rsidRDefault="006E222F" w:rsidP="00920223"/>
    <w:p w:rsidR="00714BE1" w:rsidRPr="002E1AEC" w:rsidRDefault="009D7F6F" w:rsidP="00DA6C2F">
      <w:pPr>
        <w:pStyle w:val="Heading1"/>
      </w:pPr>
      <w:bookmarkStart w:id="25" w:name="_Toc340245232"/>
      <w:r>
        <w:t>POPULATION AGEING – ECONOMIC AND EMPLOYMENT IMPLICATIONS</w:t>
      </w:r>
      <w:bookmarkEnd w:id="25"/>
    </w:p>
    <w:p w:rsidR="00714BE1" w:rsidRDefault="00714BE1" w:rsidP="00714BE1">
      <w:pPr>
        <w:rPr>
          <w:lang w:val="en-GB"/>
        </w:rPr>
      </w:pPr>
    </w:p>
    <w:p w:rsidR="00322D8A" w:rsidRPr="009D0AD4" w:rsidRDefault="000852E8" w:rsidP="00322D8A">
      <w:pPr>
        <w:pStyle w:val="Heading2"/>
        <w:spacing w:line="320" w:lineRule="exact"/>
        <w:rPr>
          <w:u w:val="none"/>
        </w:rPr>
      </w:pPr>
      <w:bookmarkStart w:id="26" w:name="_Toc336863679"/>
      <w:bookmarkStart w:id="27" w:name="_Toc340245233"/>
      <w:r w:rsidRPr="009D0AD4">
        <w:rPr>
          <w:u w:val="none"/>
        </w:rPr>
        <w:t xml:space="preserve">Global </w:t>
      </w:r>
      <w:r w:rsidR="009D7F6F" w:rsidRPr="009D0AD4">
        <w:rPr>
          <w:u w:val="none"/>
        </w:rPr>
        <w:t>Influence</w:t>
      </w:r>
      <w:r w:rsidRPr="009D0AD4">
        <w:rPr>
          <w:u w:val="none"/>
        </w:rPr>
        <w:t>: A certain reality</w:t>
      </w:r>
      <w:bookmarkEnd w:id="26"/>
      <w:bookmarkEnd w:id="27"/>
    </w:p>
    <w:p w:rsidR="0084286B" w:rsidRDefault="0084286B" w:rsidP="00165458">
      <w:pPr>
        <w:spacing w:before="120" w:after="120" w:line="320" w:lineRule="exact"/>
        <w:jc w:val="both"/>
        <w:rPr>
          <w:lang w:val="en-GB"/>
        </w:rPr>
      </w:pPr>
      <w:r>
        <w:rPr>
          <w:i/>
          <w:lang w:val="en-GB"/>
        </w:rPr>
        <w:t xml:space="preserve">In coming decades, many forces will shape our economy and society, but in all likelihood no single factor will have as persuasive an effect as the ageing of our population. </w:t>
      </w:r>
      <w:r>
        <w:rPr>
          <w:lang w:val="en-GB"/>
        </w:rPr>
        <w:t>US Federal Reserve Chairman, Ben Bernanke 2006</w:t>
      </w:r>
    </w:p>
    <w:p w:rsidR="00DA41BC" w:rsidRPr="002A5C50" w:rsidRDefault="0084286B" w:rsidP="003F13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pPr>
      <w:r>
        <w:rPr>
          <w:lang w:val="en-GB"/>
        </w:rPr>
        <w:t>Amid a global climate of uncertainty there is one certain reality.  Global ageing is a driver of economic and social change that will affect every dimension of life, from the shape of the family to the shape of the world order.</w:t>
      </w:r>
      <w:r>
        <w:rPr>
          <w:rStyle w:val="FootnoteReference"/>
          <w:lang w:val="en-GB"/>
        </w:rPr>
        <w:footnoteReference w:id="23"/>
      </w:r>
      <w:r>
        <w:rPr>
          <w:lang w:val="en-GB"/>
        </w:rPr>
        <w:t xml:space="preserve">  </w:t>
      </w:r>
      <w:r w:rsidR="00DA41BC" w:rsidRPr="00B402EF">
        <w:t xml:space="preserve">There is certainty that the global 65+ demographic will grow rapidly between now and 2050, affecting the New Zealand economy. </w:t>
      </w:r>
      <w:r w:rsidR="00BE36AE">
        <w:t xml:space="preserve">The worlds 65+ population is expected to triple by mid century, from 516 million in 2009 to 1.53 billion in 2050.  </w:t>
      </w:r>
      <w:r w:rsidR="00DA41BC">
        <w:t>Sustaining productivity and market share is a global challenge.</w:t>
      </w:r>
      <w:r w:rsidR="00DA41BC" w:rsidRPr="005B7683">
        <w:rPr>
          <w:color w:val="646464"/>
        </w:rPr>
        <w:t xml:space="preserve"> </w:t>
      </w:r>
    </w:p>
    <w:p w:rsidR="00BC3EC1" w:rsidRPr="00BC3EC1" w:rsidRDefault="00BC3EC1" w:rsidP="00165458">
      <w:pPr>
        <w:spacing w:before="120" w:after="120" w:line="320" w:lineRule="exact"/>
        <w:jc w:val="both"/>
        <w:rPr>
          <w:i/>
        </w:rPr>
      </w:pPr>
      <w:r w:rsidRPr="00BC3EC1">
        <w:rPr>
          <w:i/>
        </w:rPr>
        <w:t>By 2050 all countries around the world, except India will be as old as Japan is today.</w:t>
      </w:r>
    </w:p>
    <w:p w:rsidR="001F53C3" w:rsidRPr="001F53C3" w:rsidRDefault="001F53C3" w:rsidP="001F53C3">
      <w:pPr>
        <w:spacing w:line="320" w:lineRule="exact"/>
        <w:jc w:val="both"/>
      </w:pPr>
      <w:r w:rsidRPr="007872FD">
        <w:t xml:space="preserve">Major global economic analysis agencies claim that an economic rethink is needed. It is important that the global ‘think’ includes the fact that while the developed world is ageing, </w:t>
      </w:r>
      <w:r w:rsidRPr="007872FD">
        <w:rPr>
          <w:rFonts w:cs="Helvetica"/>
        </w:rPr>
        <w:t xml:space="preserve">it is progressing fastest in developing countries, including in those that also have a large population of young people. </w:t>
      </w:r>
    </w:p>
    <w:p w:rsidR="0084286B" w:rsidRDefault="0084286B" w:rsidP="00165458">
      <w:pPr>
        <w:spacing w:before="120" w:after="120" w:line="320" w:lineRule="exact"/>
        <w:jc w:val="both"/>
        <w:rPr>
          <w:lang w:val="en-GB"/>
        </w:rPr>
      </w:pPr>
      <w:r>
        <w:rPr>
          <w:lang w:val="en-GB"/>
        </w:rPr>
        <w:t>While recent concern is expressed over the ‘European factor</w:t>
      </w:r>
      <w:r w:rsidR="003F13EA">
        <w:rPr>
          <w:lang w:val="en-GB"/>
        </w:rPr>
        <w:t xml:space="preserve">’ of high ageing nations such as </w:t>
      </w:r>
      <w:r>
        <w:rPr>
          <w:lang w:val="en-GB"/>
        </w:rPr>
        <w:t>Italy, G</w:t>
      </w:r>
      <w:r w:rsidR="003F13EA">
        <w:rPr>
          <w:lang w:val="en-GB"/>
        </w:rPr>
        <w:t>reece, Germany, Spain and Japan</w:t>
      </w:r>
      <w:r>
        <w:rPr>
          <w:lang w:val="en-GB"/>
        </w:rPr>
        <w:t>, the global impact of an ageing China is salutary.  China is ageing rapidly, 2-3 times faster than other countries even before it is developed!</w:t>
      </w:r>
      <w:r>
        <w:rPr>
          <w:rStyle w:val="FootnoteReference"/>
          <w:lang w:val="en-GB"/>
        </w:rPr>
        <w:footnoteReference w:id="24"/>
      </w:r>
      <w:r>
        <w:rPr>
          <w:lang w:val="en-GB"/>
        </w:rPr>
        <w:t xml:space="preserve">  In 2009 there were 60 million people 60+, growing to 480 million by 2050.</w:t>
      </w:r>
    </w:p>
    <w:p w:rsidR="000852E8" w:rsidRDefault="000852E8" w:rsidP="00165458">
      <w:pPr>
        <w:spacing w:before="120" w:after="120" w:line="320" w:lineRule="exact"/>
        <w:jc w:val="both"/>
      </w:pPr>
      <w:r w:rsidRPr="00B402EF">
        <w:t>Over recent decades major international economic agencies have signal</w:t>
      </w:r>
      <w:r w:rsidR="00BC3EC1">
        <w:t>l</w:t>
      </w:r>
      <w:r w:rsidRPr="00B402EF">
        <w:t xml:space="preserve">ed a changing economic climate due to the impact of global ageing as the number of those aged 65+ grows at twice the rate of the overall population. </w:t>
      </w:r>
      <w:r w:rsidRPr="00332FDB">
        <w:t>They note that ag</w:t>
      </w:r>
      <w:r w:rsidR="00BC3EC1">
        <w:t>e</w:t>
      </w:r>
      <w:r w:rsidRPr="00332FDB">
        <w:t>ing will certainly challenge public and pr</w:t>
      </w:r>
      <w:r w:rsidR="006C7A6C">
        <w:t xml:space="preserve">ivate budgets in many ways, but </w:t>
      </w:r>
      <w:r w:rsidRPr="00332FDB">
        <w:t>through a combination of reduced consumption, postponed retirement, increased asset holdings, and greater investment in human capital, it should be possible to meet this challenge without catastrophic consequences. This irreversible trend</w:t>
      </w:r>
      <w:r w:rsidR="003F13EA">
        <w:t xml:space="preserve"> occurring at all spatial levels; globally, nationally and locally,</w:t>
      </w:r>
      <w:r w:rsidRPr="00332FDB">
        <w:t xml:space="preserve"> is created by three key factors:</w:t>
      </w:r>
    </w:p>
    <w:p w:rsidR="000852E8" w:rsidRPr="000852E8" w:rsidRDefault="000852E8" w:rsidP="006C231E">
      <w:pPr>
        <w:pStyle w:val="ListParagraph"/>
        <w:numPr>
          <w:ilvl w:val="0"/>
          <w:numId w:val="4"/>
        </w:numPr>
        <w:tabs>
          <w:tab w:val="clear" w:pos="567"/>
        </w:tabs>
        <w:spacing w:after="0" w:line="320" w:lineRule="exact"/>
        <w:ind w:left="284" w:hanging="284"/>
        <w:jc w:val="both"/>
        <w:rPr>
          <w:rFonts w:ascii="Arial" w:hAnsi="Arial" w:cs="Arial"/>
        </w:rPr>
      </w:pPr>
      <w:r w:rsidRPr="000852E8">
        <w:rPr>
          <w:rFonts w:ascii="Arial" w:hAnsi="Arial" w:cs="Arial"/>
        </w:rPr>
        <w:t>People living longer</w:t>
      </w:r>
      <w:r w:rsidR="003D6661">
        <w:rPr>
          <w:rFonts w:ascii="Arial" w:hAnsi="Arial" w:cs="Arial"/>
        </w:rPr>
        <w:t>;</w:t>
      </w:r>
    </w:p>
    <w:p w:rsidR="000852E8" w:rsidRPr="000852E8" w:rsidRDefault="000852E8" w:rsidP="006C231E">
      <w:pPr>
        <w:pStyle w:val="ListParagraph"/>
        <w:numPr>
          <w:ilvl w:val="0"/>
          <w:numId w:val="4"/>
        </w:numPr>
        <w:tabs>
          <w:tab w:val="clear" w:pos="567"/>
        </w:tabs>
        <w:spacing w:after="0" w:line="320" w:lineRule="exact"/>
        <w:ind w:left="284" w:hanging="284"/>
        <w:jc w:val="both"/>
        <w:rPr>
          <w:rFonts w:ascii="Arial" w:hAnsi="Arial" w:cs="Arial"/>
        </w:rPr>
      </w:pPr>
      <w:r w:rsidRPr="000852E8">
        <w:rPr>
          <w:rFonts w:ascii="Arial" w:hAnsi="Arial" w:cs="Arial"/>
        </w:rPr>
        <w:t>Fewer children being born</w:t>
      </w:r>
      <w:r w:rsidR="003D6661">
        <w:rPr>
          <w:rFonts w:ascii="Arial" w:hAnsi="Arial" w:cs="Arial"/>
        </w:rPr>
        <w:t>;</w:t>
      </w:r>
    </w:p>
    <w:p w:rsidR="000852E8" w:rsidRPr="000852E8" w:rsidRDefault="000852E8" w:rsidP="006C231E">
      <w:pPr>
        <w:pStyle w:val="ListParagraph"/>
        <w:numPr>
          <w:ilvl w:val="0"/>
          <w:numId w:val="4"/>
        </w:numPr>
        <w:tabs>
          <w:tab w:val="clear" w:pos="567"/>
        </w:tabs>
        <w:spacing w:before="120" w:after="120" w:line="320" w:lineRule="exact"/>
        <w:ind w:left="284" w:hanging="284"/>
        <w:jc w:val="both"/>
        <w:rPr>
          <w:rFonts w:ascii="Arial" w:hAnsi="Arial" w:cs="Arial"/>
        </w:rPr>
      </w:pPr>
      <w:r w:rsidRPr="000852E8">
        <w:rPr>
          <w:rFonts w:ascii="Arial" w:hAnsi="Arial" w:cs="Arial"/>
        </w:rPr>
        <w:t>Baby- boomers retiring</w:t>
      </w:r>
      <w:r w:rsidR="003D6661">
        <w:rPr>
          <w:rFonts w:ascii="Arial" w:hAnsi="Arial" w:cs="Arial"/>
        </w:rPr>
        <w:t>.</w:t>
      </w:r>
    </w:p>
    <w:p w:rsidR="00531BC1" w:rsidRDefault="000852E8" w:rsidP="00165458">
      <w:pPr>
        <w:spacing w:before="120" w:after="120" w:line="320" w:lineRule="exact"/>
        <w:jc w:val="both"/>
      </w:pPr>
      <w:r w:rsidRPr="00B402EF">
        <w:t>The changing demographic presents risks and opportunities for governments, cities, companies and society as a whole. It is widely understood that an understanding of, and an effective response to this historical phenomena can mitigate risks.</w:t>
      </w:r>
      <w:r w:rsidRPr="00B402EF">
        <w:rPr>
          <w:rStyle w:val="FootnoteReference"/>
        </w:rPr>
        <w:footnoteReference w:id="25"/>
      </w:r>
      <w:r w:rsidRPr="00B402EF">
        <w:t xml:space="preserve"> </w:t>
      </w:r>
    </w:p>
    <w:p w:rsidR="000852E8" w:rsidRPr="00B402EF" w:rsidRDefault="000852E8" w:rsidP="00165458">
      <w:pPr>
        <w:spacing w:before="120" w:after="120" w:line="320" w:lineRule="exact"/>
        <w:jc w:val="both"/>
      </w:pPr>
      <w:r w:rsidRPr="00B402EF">
        <w:t>The Wo</w:t>
      </w:r>
      <w:r w:rsidR="003B0C5B">
        <w:t>rld Bank began warnings in 1984 of a ‘looming crisis’</w:t>
      </w:r>
      <w:r w:rsidRPr="00B402EF">
        <w:t>.</w:t>
      </w:r>
      <w:r w:rsidRPr="00B402EF">
        <w:rPr>
          <w:rStyle w:val="FootnoteReference"/>
        </w:rPr>
        <w:footnoteReference w:id="26"/>
      </w:r>
      <w:r w:rsidRPr="00B402EF">
        <w:t xml:space="preserve"> This heralded a raft of reports from agencies such as the IMF, UN, EEC, OECD, ECB and WHO. Their analysis increased the debate on sustaining economies and fiscal responsibility for policy change to address old age poverty and affordable health care. The European Central Bank advocates later retirement and flexible longer working life to avert major falls in GDP between 2020 and 2050. Key themes include:</w:t>
      </w:r>
    </w:p>
    <w:p w:rsidR="000852E8" w:rsidRPr="000852E8" w:rsidRDefault="000852E8" w:rsidP="006C231E">
      <w:pPr>
        <w:pStyle w:val="ListParagraph"/>
        <w:numPr>
          <w:ilvl w:val="0"/>
          <w:numId w:val="3"/>
        </w:numPr>
        <w:tabs>
          <w:tab w:val="clear" w:pos="567"/>
          <w:tab w:val="num" w:pos="-851"/>
        </w:tabs>
        <w:spacing w:after="0" w:line="320" w:lineRule="exact"/>
        <w:ind w:left="284" w:hanging="284"/>
        <w:rPr>
          <w:rFonts w:ascii="Arial" w:hAnsi="Arial"/>
        </w:rPr>
      </w:pPr>
      <w:r w:rsidRPr="000852E8">
        <w:rPr>
          <w:rFonts w:ascii="Arial" w:hAnsi="Arial"/>
        </w:rPr>
        <w:t>Support of ageing people and allevia</w:t>
      </w:r>
      <w:r w:rsidR="00CB6C87">
        <w:rPr>
          <w:rFonts w:ascii="Arial" w:hAnsi="Arial"/>
        </w:rPr>
        <w:t>ting poverty over the lifecycle,</w:t>
      </w:r>
    </w:p>
    <w:p w:rsidR="000852E8" w:rsidRPr="000852E8" w:rsidRDefault="000852E8" w:rsidP="006C231E">
      <w:pPr>
        <w:pStyle w:val="ListParagraph"/>
        <w:numPr>
          <w:ilvl w:val="0"/>
          <w:numId w:val="3"/>
        </w:numPr>
        <w:tabs>
          <w:tab w:val="clear" w:pos="567"/>
          <w:tab w:val="num" w:pos="-851"/>
        </w:tabs>
        <w:spacing w:after="0" w:line="320" w:lineRule="exact"/>
        <w:ind w:left="284" w:hanging="284"/>
        <w:rPr>
          <w:rFonts w:ascii="Arial" w:hAnsi="Arial"/>
        </w:rPr>
      </w:pPr>
      <w:r w:rsidRPr="000852E8">
        <w:rPr>
          <w:rFonts w:ascii="Arial" w:hAnsi="Arial"/>
        </w:rPr>
        <w:t>Sustainability of pensions and</w:t>
      </w:r>
      <w:r w:rsidR="00CB6C87">
        <w:rPr>
          <w:rFonts w:ascii="Arial" w:hAnsi="Arial"/>
        </w:rPr>
        <w:t xml:space="preserve"> social care in an ageing world,</w:t>
      </w:r>
    </w:p>
    <w:p w:rsidR="000852E8" w:rsidRPr="000852E8" w:rsidRDefault="000852E8" w:rsidP="006C231E">
      <w:pPr>
        <w:pStyle w:val="ListParagraph"/>
        <w:numPr>
          <w:ilvl w:val="0"/>
          <w:numId w:val="3"/>
        </w:numPr>
        <w:tabs>
          <w:tab w:val="clear" w:pos="567"/>
          <w:tab w:val="num" w:pos="-851"/>
        </w:tabs>
        <w:spacing w:after="0" w:line="320" w:lineRule="exact"/>
        <w:ind w:left="284" w:hanging="284"/>
        <w:rPr>
          <w:rFonts w:ascii="Arial" w:hAnsi="Arial"/>
        </w:rPr>
      </w:pPr>
      <w:r w:rsidRPr="000852E8">
        <w:rPr>
          <w:rFonts w:ascii="Arial" w:hAnsi="Arial"/>
        </w:rPr>
        <w:t>Impact of ageing on health status, chronic disease, s</w:t>
      </w:r>
      <w:r w:rsidR="00CB6C87">
        <w:rPr>
          <w:rFonts w:ascii="Arial" w:hAnsi="Arial"/>
        </w:rPr>
        <w:t>ustainability of long term care,</w:t>
      </w:r>
    </w:p>
    <w:p w:rsidR="000852E8" w:rsidRPr="000852E8" w:rsidRDefault="000852E8" w:rsidP="006C231E">
      <w:pPr>
        <w:pStyle w:val="ListParagraph"/>
        <w:numPr>
          <w:ilvl w:val="0"/>
          <w:numId w:val="3"/>
        </w:numPr>
        <w:tabs>
          <w:tab w:val="clear" w:pos="567"/>
          <w:tab w:val="num" w:pos="-851"/>
        </w:tabs>
        <w:spacing w:after="0" w:line="320" w:lineRule="exact"/>
        <w:ind w:left="284" w:hanging="284"/>
        <w:rPr>
          <w:rFonts w:ascii="Arial" w:hAnsi="Arial"/>
        </w:rPr>
      </w:pPr>
      <w:r w:rsidRPr="000852E8">
        <w:rPr>
          <w:rFonts w:ascii="Arial" w:hAnsi="Arial"/>
        </w:rPr>
        <w:t>Global economic impact of no growth economies, r</w:t>
      </w:r>
      <w:r w:rsidR="00CB6C87">
        <w:rPr>
          <w:rFonts w:ascii="Arial" w:hAnsi="Arial"/>
        </w:rPr>
        <w:t>apid ageing of developing world,</w:t>
      </w:r>
    </w:p>
    <w:p w:rsidR="000852E8" w:rsidRPr="000852E8" w:rsidRDefault="000852E8" w:rsidP="006C231E">
      <w:pPr>
        <w:pStyle w:val="ListParagraph"/>
        <w:numPr>
          <w:ilvl w:val="0"/>
          <w:numId w:val="3"/>
        </w:numPr>
        <w:tabs>
          <w:tab w:val="clear" w:pos="567"/>
          <w:tab w:val="num" w:pos="-851"/>
        </w:tabs>
        <w:spacing w:after="0" w:line="320" w:lineRule="exact"/>
        <w:ind w:left="284" w:hanging="284"/>
        <w:rPr>
          <w:rFonts w:ascii="Arial" w:hAnsi="Arial"/>
        </w:rPr>
      </w:pPr>
      <w:r w:rsidRPr="000852E8">
        <w:rPr>
          <w:rFonts w:ascii="Arial" w:hAnsi="Arial"/>
        </w:rPr>
        <w:t>Impact of global labour</w:t>
      </w:r>
      <w:r w:rsidR="00CB6C87">
        <w:rPr>
          <w:rFonts w:ascii="Arial" w:hAnsi="Arial"/>
        </w:rPr>
        <w:t>, skill and knowledge shortages,</w:t>
      </w:r>
    </w:p>
    <w:p w:rsidR="00531BC1" w:rsidRPr="00CB6C87" w:rsidRDefault="000852E8" w:rsidP="00531BC1">
      <w:pPr>
        <w:pStyle w:val="ListParagraph"/>
        <w:numPr>
          <w:ilvl w:val="0"/>
          <w:numId w:val="3"/>
        </w:numPr>
        <w:tabs>
          <w:tab w:val="clear" w:pos="567"/>
          <w:tab w:val="num" w:pos="-851"/>
        </w:tabs>
        <w:spacing w:before="120" w:after="120" w:line="320" w:lineRule="exact"/>
        <w:ind w:left="284" w:hanging="284"/>
        <w:rPr>
          <w:rFonts w:ascii="Arial" w:hAnsi="Arial"/>
        </w:rPr>
      </w:pPr>
      <w:r w:rsidRPr="000852E8">
        <w:rPr>
          <w:rFonts w:ascii="Arial" w:hAnsi="Arial"/>
        </w:rPr>
        <w:t>Changing employment practices and workplace envir</w:t>
      </w:r>
      <w:r w:rsidR="00CB6C87">
        <w:rPr>
          <w:rFonts w:ascii="Arial" w:hAnsi="Arial"/>
        </w:rPr>
        <w:t>onments.</w:t>
      </w:r>
    </w:p>
    <w:p w:rsidR="000852E8" w:rsidRPr="000852E8" w:rsidRDefault="000852E8" w:rsidP="000852E8">
      <w:pPr>
        <w:spacing w:line="320" w:lineRule="exact"/>
        <w:jc w:val="both"/>
      </w:pPr>
      <w:r w:rsidRPr="000852E8">
        <w:rPr>
          <w:i/>
        </w:rPr>
        <w:t>“No other force is likely to shape the future of national economic health, public finances and policymaking as the irreversible rate at which the world’s population is ageing</w:t>
      </w:r>
      <w:r w:rsidRPr="000852E8">
        <w:t>.”</w:t>
      </w:r>
    </w:p>
    <w:p w:rsidR="000852E8" w:rsidRPr="000852E8" w:rsidRDefault="000852E8" w:rsidP="000852E8">
      <w:pPr>
        <w:spacing w:line="320" w:lineRule="exact"/>
        <w:jc w:val="both"/>
      </w:pPr>
      <w:r w:rsidRPr="000852E8">
        <w:t>Standard and Poors 2011</w:t>
      </w:r>
    </w:p>
    <w:p w:rsidR="000852E8" w:rsidRDefault="00BC3EC1" w:rsidP="000852E8">
      <w:pPr>
        <w:spacing w:line="320" w:lineRule="exact"/>
        <w:jc w:val="both"/>
        <w:rPr>
          <w:sz w:val="20"/>
        </w:rPr>
      </w:pPr>
      <w:r>
        <w:rPr>
          <w:noProof/>
          <w:sz w:val="20"/>
          <w:lang w:val="en-US"/>
        </w:rPr>
        <mc:AlternateContent>
          <mc:Choice Requires="wps">
            <w:drawing>
              <wp:anchor distT="0" distB="0" distL="114300" distR="114300" simplePos="0" relativeHeight="251659776" behindDoc="0" locked="0" layoutInCell="1" allowOverlap="1" wp14:anchorId="46704A8C" wp14:editId="5CE8AE15">
                <wp:simplePos x="0" y="0"/>
                <wp:positionH relativeFrom="column">
                  <wp:posOffset>2619375</wp:posOffset>
                </wp:positionH>
                <wp:positionV relativeFrom="paragraph">
                  <wp:posOffset>71755</wp:posOffset>
                </wp:positionV>
                <wp:extent cx="3200400" cy="3429000"/>
                <wp:effectExtent l="0" t="0" r="0" b="0"/>
                <wp:wrapTight wrapText="bothSides">
                  <wp:wrapPolygon edited="0">
                    <wp:start x="257" y="360"/>
                    <wp:lineTo x="257" y="21240"/>
                    <wp:lineTo x="21214" y="21240"/>
                    <wp:lineTo x="21214" y="360"/>
                    <wp:lineTo x="257" y="36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3429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A70D7E">
                            <w:pPr>
                              <w:spacing w:line="320" w:lineRule="exact"/>
                              <w:jc w:val="both"/>
                            </w:pPr>
                            <w:r w:rsidRPr="00B402EF">
                              <w:t xml:space="preserve">In June 2012 The International Monetary Fund (IMF) urged ‘ambitious’ public policy and private sector reform to stabilise economies. </w:t>
                            </w:r>
                            <w:r w:rsidRPr="00B402EF">
                              <w:rPr>
                                <w:rFonts w:cs="Verdana"/>
                                <w:szCs w:val="26"/>
                              </w:rPr>
                              <w:t>It warned that now is the right time to address the long-term challenge of global ag</w:t>
                            </w:r>
                            <w:r>
                              <w:rPr>
                                <w:rFonts w:cs="Verdana"/>
                                <w:szCs w:val="26"/>
                              </w:rPr>
                              <w:t>e</w:t>
                            </w:r>
                            <w:r w:rsidRPr="00B402EF">
                              <w:rPr>
                                <w:rFonts w:cs="Verdana"/>
                                <w:szCs w:val="26"/>
                              </w:rPr>
                              <w:t>ing, because the economic crisis has made timely action more urgent.</w:t>
                            </w:r>
                            <w:r w:rsidRPr="00B402EF">
                              <w:t xml:space="preserve"> Despite global economic recession, and fiscal consolidation, it considers that long-term prospects for many countries remain worrisome due to rapid ageing of ‘economic giants’ Japan, South Korea, Germany and Britain. It notes that this brings social, economic and security challenges.  Europe is now closer to the Chinese 4-2-1-dependency paradigm where one child supports 2 parents and 4 grandparents (filial responsibility).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06.25pt;margin-top:5.65pt;width:252pt;height:27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1xWsAIAALoFAAAOAAAAZHJzL2Uyb0RvYy54bWysVNuOmzAQfa/Uf7D8znKJkw1oSbUbQlVp&#10;e5F2+wEOmGAVbGo7gW3Vf+/Y5MJuValqywPy2OMzl3M8N2+GtkEHpjSXIsXhVYARE4Usudil+PNj&#10;7i0x0oaKkjZSsBQ/MY3frF6/uum7hEWylk3JFAIQoZO+S3FtTJf4vi5q1lJ9JTsm4LCSqqUGTLXz&#10;S0V7QG8bPwqChd9LVXZKFkxr2M3GQ7xy+FXFCvOxqjQzqEkx5GbcX7n/1v791Q1Ndop2NS+OadC/&#10;yKKlXEDQM1RGDUV7xX+BanmhpJaVuSpk68uq4gVzNUA1YfCimoeadszVAs3R3blN+v/BFh8OnxTi&#10;ZYpnGAnaAkWPbDDoTg5oZrvTdzoBp4cO3MwA28Cyq1R397L4opGQ65qKHbtVSvY1oyVkF9qb/uTq&#10;iKMtyLZ/L0sIQ/dGOqChUq1tHTQDATqw9HRmxqZSwOYMuCYBHBVwNiNRHIBhY9DkdL1T2rxlskV2&#10;kWIF1Dt4erjXZnQ9udhoQua8aWCfJo14tgGY4w4Eh6v2zKbh2PweB/FmuVkSj0SLjUeCLPNu8zXx&#10;Fnl4Pc9m2XqdhT9s3JAkNS9LJmyYk7JC8mfMHTU+auKsLS0bXlo4m5JWu+26UehAQdm5+44Nmbj5&#10;z9Nw/YJaXpQURiS4i2IvXyyvPZKTuRdfB0svCOO7eBGQmGT585LuuWD/XhLqUxzPo/mopt/WBkxf&#10;yJ7URpOWG5gdDW9TvDw70cRqcCNKR62hvBnXk1bY9C+tALpPRDvFWpGOcjXDdgAUK+OtLJ9Au0qC&#10;skCFMPBgUUv1DaMehkeK9dc9VQyj5p0A/cchIXbaTA01NbZTg4oCoFJsMBqXazNOqH2n+K6GSOOL&#10;E/IW3kzFnZovWR1fGgwIV9RxmNkJNLWd12Xkrn4CAAD//wMAUEsDBBQABgAIAAAAIQARxtp/3AAA&#10;AAoBAAAPAAAAZHJzL2Rvd25yZXYueG1sTI/NTsMwEITvSLyDtUjcqJNC2pLGqVARD0BB4urE2ySq&#10;vY5i54c+PcsJjjvzaXamOCzOigmH0HlSkK4SEEi1Nx01Cj4/3h52IELUZLT1hAq+McChvL0pdG78&#10;TO84nWIjOIRCrhW0Mfa5lKFu0emw8j0Se2c/OB35HBppBj1zuLNynSQb6XRH/KHVPR5brC+n0Smo&#10;r+Pr7thV03zdfm2rpbXZmaxS93fLyx5ExCX+wfBbn6tDyZ0qP5IJwip4StcZo2ykjyAYeE43LFQK&#10;sowVWRby/4TyBwAA//8DAFBLAQItABQABgAIAAAAIQC2gziS/gAAAOEBAAATAAAAAAAAAAAAAAAA&#10;AAAAAABbQ29udGVudF9UeXBlc10ueG1sUEsBAi0AFAAGAAgAAAAhADj9If/WAAAAlAEAAAsAAAAA&#10;AAAAAAAAAAAALwEAAF9yZWxzLy5yZWxzUEsBAi0AFAAGAAgAAAAhAAmzXFawAgAAugUAAA4AAAAA&#10;AAAAAAAAAAAALgIAAGRycy9lMm9Eb2MueG1sUEsBAi0AFAAGAAgAAAAhABHG2n/cAAAACgEAAA8A&#10;AAAAAAAAAAAAAAAACgUAAGRycy9kb3ducmV2LnhtbFBLBQYAAAAABAAEAPMAAAATBgAAAAA=&#10;" filled="f" stroked="f">
                <v:textbox inset=",7.2pt,,7.2pt">
                  <w:txbxContent>
                    <w:p w:rsidR="006E222F" w:rsidRDefault="006E222F" w:rsidP="00A70D7E">
                      <w:pPr>
                        <w:spacing w:line="320" w:lineRule="exact"/>
                        <w:jc w:val="both"/>
                      </w:pPr>
                      <w:r w:rsidRPr="00B402EF">
                        <w:t xml:space="preserve">In June 2012 The International Monetary Fund (IMF) urged ‘ambitious’ public policy and private sector reform to stabilise economies. </w:t>
                      </w:r>
                      <w:r w:rsidRPr="00B402EF">
                        <w:rPr>
                          <w:rFonts w:cs="Verdana"/>
                          <w:szCs w:val="26"/>
                        </w:rPr>
                        <w:t>It warned that now is the right time to address the long-term challenge of global ag</w:t>
                      </w:r>
                      <w:r>
                        <w:rPr>
                          <w:rFonts w:cs="Verdana"/>
                          <w:szCs w:val="26"/>
                        </w:rPr>
                        <w:t>e</w:t>
                      </w:r>
                      <w:r w:rsidRPr="00B402EF">
                        <w:rPr>
                          <w:rFonts w:cs="Verdana"/>
                          <w:szCs w:val="26"/>
                        </w:rPr>
                        <w:t>ing, because the economic crisis has made timely action more urgent.</w:t>
                      </w:r>
                      <w:r w:rsidRPr="00B402EF">
                        <w:t xml:space="preserve"> Despite global economic recession, and fiscal consolidation, it considers that long-term prospects for many countries remain worrisome due to rapid ageing of ‘economic giants’ Japan, South Korea, Germany and Britain. It notes that this brings social, economic and security challenges.  Europe is now closer to the Chinese 4-2-1-dependency paradigm where one child supports 2 parents and 4 grandparents (filial responsibility). </w:t>
                      </w:r>
                    </w:p>
                  </w:txbxContent>
                </v:textbox>
                <w10:wrap type="tight"/>
              </v:shape>
            </w:pict>
          </mc:Fallback>
        </mc:AlternateContent>
      </w:r>
    </w:p>
    <w:p w:rsidR="00A70D7E" w:rsidRDefault="00A70D7E" w:rsidP="00A70D7E">
      <w:pPr>
        <w:jc w:val="both"/>
        <w:rPr>
          <w:sz w:val="20"/>
        </w:rPr>
      </w:pPr>
      <w:r w:rsidRPr="00080F58">
        <w:rPr>
          <w:noProof/>
          <w:sz w:val="20"/>
          <w:lang w:val="en-US"/>
        </w:rPr>
        <w:drawing>
          <wp:inline distT="0" distB="0" distL="0" distR="0" wp14:anchorId="656B3192" wp14:editId="5C5994FD">
            <wp:extent cx="2476500" cy="3101488"/>
            <wp:effectExtent l="0" t="0" r="0" b="381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srcRect/>
                    <a:stretch>
                      <a:fillRect/>
                    </a:stretch>
                  </pic:blipFill>
                  <pic:spPr bwMode="auto">
                    <a:xfrm>
                      <a:off x="0" y="0"/>
                      <a:ext cx="2512560" cy="3146649"/>
                    </a:xfrm>
                    <a:prstGeom prst="rect">
                      <a:avLst/>
                    </a:prstGeom>
                    <a:noFill/>
                    <a:ln w="9525">
                      <a:noFill/>
                      <a:miter lim="800000"/>
                      <a:headEnd/>
                      <a:tailEnd/>
                    </a:ln>
                  </pic:spPr>
                </pic:pic>
              </a:graphicData>
            </a:graphic>
          </wp:inline>
        </w:drawing>
      </w:r>
    </w:p>
    <w:p w:rsidR="000852E8" w:rsidRDefault="000852E8" w:rsidP="000852E8">
      <w:pPr>
        <w:spacing w:line="320" w:lineRule="exact"/>
        <w:jc w:val="center"/>
      </w:pPr>
    </w:p>
    <w:p w:rsidR="00531BC1" w:rsidRPr="00531BC1" w:rsidRDefault="00531BC1" w:rsidP="00531BC1">
      <w:pPr>
        <w:spacing w:line="320" w:lineRule="exact"/>
      </w:pPr>
      <w:r w:rsidRPr="00531BC1">
        <w:t xml:space="preserve">Population ageing is creating </w:t>
      </w:r>
      <w:r w:rsidR="00136A1C" w:rsidRPr="00531BC1">
        <w:t>shrinkage</w:t>
      </w:r>
      <w:r w:rsidRPr="00531BC1">
        <w:t xml:space="preserve"> in the global workforce:</w:t>
      </w:r>
    </w:p>
    <w:p w:rsidR="00531BC1" w:rsidRPr="00531BC1" w:rsidRDefault="00531BC1" w:rsidP="006C231E">
      <w:pPr>
        <w:pStyle w:val="ListParagraph"/>
        <w:numPr>
          <w:ilvl w:val="0"/>
          <w:numId w:val="24"/>
        </w:numPr>
        <w:spacing w:before="120" w:after="120" w:line="320" w:lineRule="exact"/>
        <w:ind w:left="284" w:hanging="284"/>
        <w:rPr>
          <w:rFonts w:ascii="Arial" w:hAnsi="Arial" w:cs="Arial"/>
        </w:rPr>
      </w:pPr>
      <w:r w:rsidRPr="00531BC1">
        <w:rPr>
          <w:rFonts w:ascii="Arial" w:hAnsi="Arial" w:cs="Arial"/>
        </w:rPr>
        <w:t>US: 72 million by 2050</w:t>
      </w:r>
    </w:p>
    <w:p w:rsidR="00531BC1" w:rsidRPr="00531BC1" w:rsidRDefault="00531BC1" w:rsidP="006C231E">
      <w:pPr>
        <w:pStyle w:val="ListParagraph"/>
        <w:numPr>
          <w:ilvl w:val="0"/>
          <w:numId w:val="24"/>
        </w:numPr>
        <w:spacing w:before="120" w:after="120" w:line="320" w:lineRule="exact"/>
        <w:ind w:left="284" w:hanging="284"/>
        <w:rPr>
          <w:rFonts w:ascii="Arial" w:hAnsi="Arial" w:cs="Arial"/>
        </w:rPr>
      </w:pPr>
      <w:r w:rsidRPr="00531BC1">
        <w:rPr>
          <w:rFonts w:ascii="Arial" w:hAnsi="Arial" w:cs="Arial"/>
        </w:rPr>
        <w:t>Germany: 13 million</w:t>
      </w:r>
    </w:p>
    <w:p w:rsidR="00531BC1" w:rsidRPr="00531BC1" w:rsidRDefault="00531BC1" w:rsidP="006C231E">
      <w:pPr>
        <w:pStyle w:val="ListParagraph"/>
        <w:numPr>
          <w:ilvl w:val="0"/>
          <w:numId w:val="24"/>
        </w:numPr>
        <w:spacing w:before="120" w:after="120" w:line="320" w:lineRule="exact"/>
        <w:ind w:left="284" w:hanging="284"/>
        <w:rPr>
          <w:rFonts w:ascii="Arial" w:hAnsi="Arial" w:cs="Arial"/>
        </w:rPr>
      </w:pPr>
      <w:r w:rsidRPr="00531BC1">
        <w:rPr>
          <w:rFonts w:ascii="Arial" w:hAnsi="Arial" w:cs="Arial"/>
        </w:rPr>
        <w:t>China:  480 million</w:t>
      </w:r>
    </w:p>
    <w:p w:rsidR="0027688E" w:rsidRDefault="00531BC1" w:rsidP="00CB6C87">
      <w:pPr>
        <w:pStyle w:val="ListParagraph"/>
        <w:numPr>
          <w:ilvl w:val="0"/>
          <w:numId w:val="24"/>
        </w:numPr>
        <w:spacing w:before="120" w:after="120" w:line="320" w:lineRule="exact"/>
        <w:ind w:left="284" w:hanging="284"/>
        <w:rPr>
          <w:rFonts w:ascii="Arial" w:hAnsi="Arial" w:cs="Arial"/>
        </w:rPr>
      </w:pPr>
      <w:r w:rsidRPr="00531BC1">
        <w:rPr>
          <w:rFonts w:ascii="Arial" w:hAnsi="Arial" w:cs="Arial"/>
        </w:rPr>
        <w:t>New Zealand 1.3 million</w:t>
      </w:r>
    </w:p>
    <w:p w:rsidR="00CB6C87" w:rsidRDefault="00CB6C87" w:rsidP="00CB6C87">
      <w:pPr>
        <w:spacing w:before="120" w:after="120" w:line="320" w:lineRule="exact"/>
      </w:pPr>
    </w:p>
    <w:p w:rsidR="00CB6C87" w:rsidRDefault="00CB6C87" w:rsidP="00CB6C87">
      <w:pPr>
        <w:spacing w:before="120" w:after="120" w:line="320" w:lineRule="exact"/>
      </w:pPr>
    </w:p>
    <w:p w:rsidR="00CB6C87" w:rsidRDefault="00CB6C87" w:rsidP="00CB6C87">
      <w:pPr>
        <w:spacing w:before="120" w:after="120" w:line="320" w:lineRule="exact"/>
      </w:pPr>
    </w:p>
    <w:p w:rsidR="00CB6C87" w:rsidRDefault="00CB6C87" w:rsidP="00CB6C87">
      <w:pPr>
        <w:spacing w:before="120" w:after="120" w:line="320" w:lineRule="exact"/>
      </w:pPr>
    </w:p>
    <w:p w:rsidR="00CB6C87" w:rsidRDefault="00CB6C87" w:rsidP="00CB6C87">
      <w:pPr>
        <w:spacing w:before="120" w:after="120" w:line="320" w:lineRule="exact"/>
      </w:pPr>
    </w:p>
    <w:p w:rsidR="00CB6C87" w:rsidRDefault="00CB6C87" w:rsidP="00CB6C87">
      <w:pPr>
        <w:spacing w:before="120" w:after="120" w:line="320" w:lineRule="exact"/>
      </w:pPr>
    </w:p>
    <w:p w:rsidR="00CB6C87" w:rsidRDefault="00CB6C87" w:rsidP="00CB6C87">
      <w:pPr>
        <w:spacing w:before="120" w:after="120" w:line="320" w:lineRule="exact"/>
      </w:pPr>
    </w:p>
    <w:p w:rsidR="00CB6C87" w:rsidRPr="00CB6C87" w:rsidRDefault="00CB6C87" w:rsidP="00CB6C87">
      <w:pPr>
        <w:spacing w:before="120" w:after="120" w:line="320" w:lineRule="exact"/>
      </w:pPr>
    </w:p>
    <w:p w:rsidR="000852E8" w:rsidRDefault="000852E8" w:rsidP="000852E8">
      <w:pPr>
        <w:spacing w:line="320" w:lineRule="exact"/>
        <w:jc w:val="center"/>
        <w:rPr>
          <w:sz w:val="18"/>
        </w:rPr>
      </w:pPr>
      <w:r w:rsidRPr="003C5BB8">
        <w:rPr>
          <w:sz w:val="18"/>
        </w:rPr>
        <w:t xml:space="preserve">Fig. </w:t>
      </w:r>
      <w:r w:rsidR="0027688E">
        <w:rPr>
          <w:sz w:val="18"/>
        </w:rPr>
        <w:t>9</w:t>
      </w:r>
      <w:r w:rsidRPr="003C5BB8">
        <w:rPr>
          <w:sz w:val="18"/>
        </w:rPr>
        <w:t xml:space="preserve"> OECD Ageing 2005-2050</w:t>
      </w:r>
    </w:p>
    <w:p w:rsidR="000852E8" w:rsidRDefault="000852E8" w:rsidP="000852E8">
      <w:pPr>
        <w:spacing w:line="320" w:lineRule="exact"/>
        <w:jc w:val="center"/>
        <w:rPr>
          <w:sz w:val="18"/>
        </w:rPr>
      </w:pPr>
    </w:p>
    <w:p w:rsidR="00A70D7E" w:rsidRDefault="00A70D7E" w:rsidP="00A70D7E">
      <w:pPr>
        <w:jc w:val="center"/>
      </w:pPr>
      <w:r w:rsidRPr="00950263">
        <w:rPr>
          <w:noProof/>
          <w:lang w:val="en-US"/>
        </w:rPr>
        <w:drawing>
          <wp:inline distT="0" distB="0" distL="0" distR="0" wp14:anchorId="73B59DC6" wp14:editId="1972BC67">
            <wp:extent cx="5381625" cy="2962275"/>
            <wp:effectExtent l="0" t="0" r="9525" b="9525"/>
            <wp:docPr id="17" name="P 8"/>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pic:cNvPicPr>
                  </pic:nvPicPr>
                  <pic:blipFill>
                    <a:blip r:embed="rId30"/>
                    <a:stretch>
                      <a:fillRect/>
                    </a:stretch>
                  </pic:blipFill>
                  <pic:spPr>
                    <a:xfrm>
                      <a:off x="0" y="0"/>
                      <a:ext cx="5412747" cy="2979406"/>
                    </a:xfrm>
                    <a:prstGeom prst="rect">
                      <a:avLst/>
                    </a:prstGeom>
                  </pic:spPr>
                </pic:pic>
              </a:graphicData>
            </a:graphic>
          </wp:inline>
        </w:drawing>
      </w:r>
    </w:p>
    <w:p w:rsidR="00BC3EC1" w:rsidRPr="00A973E8" w:rsidRDefault="00BC3EC1" w:rsidP="00A70D7E">
      <w:pPr>
        <w:jc w:val="center"/>
      </w:pPr>
    </w:p>
    <w:p w:rsidR="00BC3EC1" w:rsidRDefault="000852E8" w:rsidP="00165458">
      <w:pPr>
        <w:spacing w:before="120" w:after="120" w:line="320" w:lineRule="exact"/>
        <w:jc w:val="both"/>
        <w:rPr>
          <w:rFonts w:cs="Georgia"/>
          <w:szCs w:val="30"/>
        </w:rPr>
      </w:pPr>
      <w:r w:rsidRPr="004F15CA">
        <w:rPr>
          <w:rFonts w:cs="Georgia"/>
          <w:szCs w:val="30"/>
        </w:rPr>
        <w:t xml:space="preserve">Increasing longevity is the new dynamic in an already ageing world. An additional four years of life expectancy is projected in developed nations, to 2050. This equates to 5 weeks more living per year, with </w:t>
      </w:r>
      <w:r>
        <w:rPr>
          <w:rFonts w:cs="Georgia"/>
          <w:szCs w:val="30"/>
        </w:rPr>
        <w:t xml:space="preserve">national </w:t>
      </w:r>
      <w:r w:rsidRPr="004F15CA">
        <w:rPr>
          <w:rFonts w:cs="Georgia"/>
          <w:szCs w:val="30"/>
        </w:rPr>
        <w:t xml:space="preserve">costs increasing by 50%.  </w:t>
      </w:r>
    </w:p>
    <w:p w:rsidR="00BC3EC1" w:rsidRPr="00BC3EC1" w:rsidRDefault="00BC3EC1" w:rsidP="00BC3EC1">
      <w:pPr>
        <w:spacing w:line="320" w:lineRule="exact"/>
        <w:rPr>
          <w:i/>
        </w:rPr>
      </w:pPr>
      <w:r w:rsidRPr="00BC3EC1">
        <w:rPr>
          <w:i/>
        </w:rPr>
        <w:t>It is possible, if we continue to make progress in reducing mortality, that most children born since the year 2000 will live to see their 100th birthdays in the 22</w:t>
      </w:r>
      <w:r w:rsidRPr="00BC3EC1">
        <w:rPr>
          <w:i/>
          <w:vertAlign w:val="superscript"/>
        </w:rPr>
        <w:t>nd</w:t>
      </w:r>
      <w:r w:rsidRPr="00BC3EC1">
        <w:rPr>
          <w:i/>
        </w:rPr>
        <w:t xml:space="preserve"> century.</w:t>
      </w:r>
      <w:r w:rsidRPr="00BC3EC1">
        <w:rPr>
          <w:rStyle w:val="FootnoteReference"/>
          <w:i/>
        </w:rPr>
        <w:footnoteReference w:id="27"/>
      </w:r>
    </w:p>
    <w:p w:rsidR="000852E8" w:rsidRPr="00947763" w:rsidRDefault="000852E8" w:rsidP="00165458">
      <w:pPr>
        <w:spacing w:before="120" w:after="120" w:line="320" w:lineRule="exact"/>
        <w:jc w:val="both"/>
        <w:rPr>
          <w:rFonts w:cs="Georgia"/>
          <w:szCs w:val="30"/>
        </w:rPr>
      </w:pPr>
      <w:r w:rsidRPr="004F15CA">
        <w:rPr>
          <w:rFonts w:cs="Georgia"/>
          <w:szCs w:val="30"/>
        </w:rPr>
        <w:t xml:space="preserve">The IMF urges governments and the private sector to prepare for the risk of longer life spans as ageing increases national vulnerability to other economic shocks and longer-term stability. </w:t>
      </w:r>
      <w:r w:rsidRPr="004F15CA">
        <w:rPr>
          <w:rFonts w:cs="Georgia"/>
          <w:i/>
          <w:szCs w:val="30"/>
        </w:rPr>
        <w:t xml:space="preserve">Among other important factors such as the </w:t>
      </w:r>
      <w:r>
        <w:rPr>
          <w:rFonts w:cs="Georgia"/>
          <w:i/>
          <w:szCs w:val="30"/>
        </w:rPr>
        <w:t>‘</w:t>
      </w:r>
      <w:r w:rsidRPr="004F15CA">
        <w:rPr>
          <w:rFonts w:cs="Georgia"/>
          <w:i/>
          <w:szCs w:val="30"/>
        </w:rPr>
        <w:t>Eurozone</w:t>
      </w:r>
      <w:r>
        <w:rPr>
          <w:rFonts w:cs="Georgia"/>
          <w:i/>
          <w:szCs w:val="30"/>
        </w:rPr>
        <w:t>’</w:t>
      </w:r>
      <w:r w:rsidRPr="004F15CA">
        <w:rPr>
          <w:rFonts w:cs="Georgia"/>
          <w:i/>
          <w:szCs w:val="30"/>
        </w:rPr>
        <w:t xml:space="preserve"> sovereign debt </w:t>
      </w:r>
      <w:r w:rsidRPr="004F15CA">
        <w:rPr>
          <w:i/>
        </w:rPr>
        <w:t>crisis and declining economic growth, an ageing population plays a crucial role</w:t>
      </w:r>
      <w:r w:rsidRPr="004F15CA">
        <w:t>.</w:t>
      </w:r>
      <w:r w:rsidRPr="004F15CA">
        <w:rPr>
          <w:rStyle w:val="FootnoteReference"/>
        </w:rPr>
        <w:footnoteReference w:id="28"/>
      </w:r>
      <w:r w:rsidRPr="004F15CA">
        <w:t xml:space="preserve">  Costs associated with Elder care are highlighted as a major economic issue as demands are made on the public purse, family ob</w:t>
      </w:r>
      <w:r>
        <w:t xml:space="preserve">ligation and specialised labour </w:t>
      </w:r>
      <w:r w:rsidRPr="004F15CA">
        <w:t xml:space="preserve">availability. </w:t>
      </w:r>
    </w:p>
    <w:p w:rsidR="000852E8" w:rsidRPr="00264F8C" w:rsidRDefault="000852E8" w:rsidP="000852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rPr>
          <w:rFonts w:cs="Helvetica"/>
        </w:rPr>
      </w:pPr>
      <w:r>
        <w:t xml:space="preserve">In </w:t>
      </w:r>
      <w:r w:rsidRPr="004F15CA">
        <w:t>contrast the OECD 2012, reports that Africa is the fastest growing youth population with over 200 million people aged 15-24, a figure that is expected to double by 2045 pouring millions of job seekers onto the market.</w:t>
      </w:r>
      <w:r w:rsidRPr="004F15CA">
        <w:rPr>
          <w:rStyle w:val="FootnoteReference"/>
        </w:rPr>
        <w:footnoteReference w:id="29"/>
      </w:r>
      <w:r w:rsidRPr="004F15CA">
        <w:t xml:space="preserve"> Russia</w:t>
      </w:r>
      <w:r w:rsidR="00BC3EC1">
        <w:t xml:space="preserve"> and Hungary</w:t>
      </w:r>
      <w:r w:rsidRPr="004F15CA">
        <w:t xml:space="preserve"> have embarked on fertility growth programmes to reduce the dependency ratio. Nordic countries and France have increased fertility family friendly policies and tax reform.</w:t>
      </w:r>
      <w:r w:rsidRPr="004F15CA">
        <w:rPr>
          <w:rStyle w:val="FootnoteReference"/>
        </w:rPr>
        <w:footnoteReference w:id="30"/>
      </w:r>
      <w:r>
        <w:t xml:space="preserve"> Further a Harvard report suggests that</w:t>
      </w:r>
      <w:r>
        <w:rPr>
          <w:rFonts w:ascii="Calibri" w:hAnsi="Calibri" w:cs="Calibri"/>
        </w:rPr>
        <w:t xml:space="preserve"> </w:t>
      </w:r>
      <w:r w:rsidRPr="00BC3EC1">
        <w:t>the</w:t>
      </w:r>
      <w:r>
        <w:rPr>
          <w:rFonts w:ascii="Calibri" w:hAnsi="Calibri" w:cs="Calibri"/>
        </w:rPr>
        <w:t xml:space="preserve"> </w:t>
      </w:r>
      <w:r w:rsidRPr="00947763">
        <w:rPr>
          <w:rFonts w:cs="Calibri"/>
        </w:rPr>
        <w:t>increase in elderly dependents will be more than offset by a decline in youth dependents. And this offset suggests that population ag</w:t>
      </w:r>
      <w:r w:rsidR="00BC3EC1">
        <w:rPr>
          <w:rFonts w:cs="Calibri"/>
        </w:rPr>
        <w:t>e</w:t>
      </w:r>
      <w:r w:rsidRPr="00947763">
        <w:rPr>
          <w:rFonts w:cs="Calibri"/>
        </w:rPr>
        <w:t>ing does not pose an imminent economic crisis for the world.</w:t>
      </w:r>
      <w:r>
        <w:rPr>
          <w:rStyle w:val="FootnoteReference"/>
          <w:rFonts w:cs="Calibri"/>
        </w:rPr>
        <w:footnoteReference w:id="31"/>
      </w:r>
      <w:r w:rsidRPr="00947763">
        <w:rPr>
          <w:rFonts w:cs="Calibri"/>
        </w:rPr>
        <w:t xml:space="preserve">  </w:t>
      </w:r>
    </w:p>
    <w:p w:rsidR="000852E8" w:rsidRPr="004F15CA" w:rsidRDefault="000852E8" w:rsidP="000852E8">
      <w:pPr>
        <w:pStyle w:val="BodyText"/>
        <w:spacing w:line="320" w:lineRule="exact"/>
        <w:ind w:left="0"/>
        <w:jc w:val="both"/>
      </w:pPr>
      <w:r w:rsidRPr="004F15CA">
        <w:t xml:space="preserve">Over the last decade the economic and social policy agenda has widened to examine rising longevity issues including increasing participation in the workforce, paid and unpaid work, and the business opportunity that arises from a healthier wealthier and active boomer generation. </w:t>
      </w:r>
    </w:p>
    <w:p w:rsidR="000852E8" w:rsidRPr="004F15CA" w:rsidRDefault="000852E8" w:rsidP="000852E8">
      <w:pPr>
        <w:spacing w:line="320" w:lineRule="exact"/>
        <w:jc w:val="both"/>
      </w:pPr>
      <w:r w:rsidRPr="004F15CA">
        <w:t>Economic analysts in leading international agencies are also now positioning a more positive frame, as the healthiest most educated and wealthiest cohort of people enter later life stages. The European Commission is for example, actively engaged in ageing related economic and social policy change</w:t>
      </w:r>
      <w:r w:rsidR="00BC3EC1">
        <w:t xml:space="preserve"> to lift productivity</w:t>
      </w:r>
      <w:r w:rsidRPr="004F15CA">
        <w:t>. 2012 is Europe Age-Friendly Year where governments and communities are fast tracking change to improve urban environments, products, services and technology to suppor</w:t>
      </w:r>
      <w:r w:rsidR="0060737D">
        <w:t>t active and independent living.</w:t>
      </w:r>
    </w:p>
    <w:p w:rsidR="000852E8" w:rsidRDefault="000852E8" w:rsidP="000852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pPr>
    </w:p>
    <w:p w:rsidR="00BC3EC1" w:rsidRPr="009D0AD4" w:rsidRDefault="0033729F" w:rsidP="00B20CA9">
      <w:pPr>
        <w:pStyle w:val="Heading2"/>
        <w:spacing w:before="120" w:after="120" w:line="320" w:lineRule="exact"/>
        <w:ind w:left="578" w:hanging="578"/>
        <w:rPr>
          <w:rFonts w:ascii="Arial" w:hAnsi="Arial"/>
          <w:u w:val="none"/>
        </w:rPr>
      </w:pPr>
      <w:bookmarkStart w:id="28" w:name="_Toc336863680"/>
      <w:bookmarkStart w:id="29" w:name="_Toc340245234"/>
      <w:r w:rsidRPr="009D0AD4">
        <w:rPr>
          <w:rFonts w:ascii="Arial" w:hAnsi="Arial"/>
          <w:u w:val="none"/>
        </w:rPr>
        <w:t>Ageing in an uncertain New Zealand economy</w:t>
      </w:r>
      <w:bookmarkEnd w:id="28"/>
      <w:bookmarkEnd w:id="29"/>
    </w:p>
    <w:p w:rsidR="00600646" w:rsidRDefault="00600646" w:rsidP="0060064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rsidRPr="000852E8">
        <w:t xml:space="preserve">New Zealand is regarded as a moderately high ageing country similar to the averaged rate of ageing within the OECD. It is likely that the New Zealand economy will be affected by adverse spillovers from global ageing particularly ‘Eurozone’ markets and the dynamics of an ageing China’s influence on global trade. </w:t>
      </w:r>
      <w:r>
        <w:t xml:space="preserve">There is economic potential from Iwi strategies to utilise Māori wealth and investment in productive sectors to accommodate a growing Māori labour force. </w:t>
      </w:r>
    </w:p>
    <w:p w:rsidR="004A6790" w:rsidRPr="008724E6" w:rsidRDefault="004A6790" w:rsidP="004A6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cs="Helvetica"/>
        </w:rPr>
      </w:pPr>
      <w:r>
        <w:t xml:space="preserve">Public and private business investment requires a new demographic frame of analysis to maintain current levels of GDP. </w:t>
      </w:r>
      <w:r w:rsidRPr="00735053">
        <w:rPr>
          <w:szCs w:val="16"/>
        </w:rPr>
        <w:t xml:space="preserve">The New </w:t>
      </w:r>
      <w:r>
        <w:rPr>
          <w:szCs w:val="16"/>
        </w:rPr>
        <w:t>Zealand economy has demonstrated</w:t>
      </w:r>
      <w:r w:rsidRPr="00735053">
        <w:rPr>
          <w:szCs w:val="16"/>
        </w:rPr>
        <w:t xml:space="preserve"> broad-based growth in the first half of 2012, despite on-going challenges in many parts of the world.  GDP gre</w:t>
      </w:r>
      <w:r>
        <w:rPr>
          <w:szCs w:val="16"/>
        </w:rPr>
        <w:t xml:space="preserve">w taking annual growth to 2.6%, </w:t>
      </w:r>
      <w:r w:rsidRPr="00735053">
        <w:rPr>
          <w:szCs w:val="16"/>
        </w:rPr>
        <w:t>the highest rate since 2</w:t>
      </w:r>
      <w:r>
        <w:rPr>
          <w:szCs w:val="16"/>
        </w:rPr>
        <w:t>007. It was</w:t>
      </w:r>
      <w:r w:rsidRPr="00735053">
        <w:rPr>
          <w:szCs w:val="16"/>
        </w:rPr>
        <w:t xml:space="preserve"> based on a number of sectors, including agriculture, constructi</w:t>
      </w:r>
      <w:r>
        <w:rPr>
          <w:szCs w:val="16"/>
        </w:rPr>
        <w:t>on, transport and manufacturing.</w:t>
      </w:r>
      <w:r>
        <w:rPr>
          <w:rStyle w:val="FootnoteReference"/>
          <w:szCs w:val="16"/>
        </w:rPr>
        <w:footnoteReference w:id="32"/>
      </w:r>
      <w:r>
        <w:rPr>
          <w:szCs w:val="16"/>
        </w:rPr>
        <w:t xml:space="preserve">  However, the New Zealand economy is expected to experience future slow growth.</w:t>
      </w:r>
    </w:p>
    <w:p w:rsidR="00600646" w:rsidRDefault="00600646" w:rsidP="00B20C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cs="Helvetica"/>
        </w:rPr>
      </w:pPr>
      <w:r>
        <w:rPr>
          <w:rFonts w:cs="Helvetica"/>
        </w:rPr>
        <w:t>New Zealand has an opportunity to gain from the ‘Eurozone’ efforts to mitigate the impact of slower growth and productivity by reducing debt and maximizing active ageing initiatives such as the Age-Friendly Europe 2012 year currently underway. The effort is to enable all sectors to gain a growing understanding of the impact of population ageing, and to adapt to the change that the megatrend will bring to all aspects of society.</w:t>
      </w:r>
    </w:p>
    <w:p w:rsidR="004A6790" w:rsidRPr="004A6790" w:rsidRDefault="004A6790" w:rsidP="00B20C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cs="Helvetica"/>
        </w:rPr>
      </w:pPr>
    </w:p>
    <w:p w:rsidR="00600646" w:rsidRPr="004A6790" w:rsidRDefault="00600646" w:rsidP="00600646">
      <w:pPr>
        <w:pStyle w:val="Heading3"/>
        <w:rPr>
          <w:b/>
        </w:rPr>
      </w:pPr>
      <w:r w:rsidRPr="004A6790">
        <w:rPr>
          <w:b/>
        </w:rPr>
        <w:t>Productivity, employment and labour force participation</w:t>
      </w:r>
    </w:p>
    <w:p w:rsidR="00BC3EC1" w:rsidRDefault="003F13EA" w:rsidP="00B20C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t>While sustaining global market share is likely to be demanding</w:t>
      </w:r>
      <w:r w:rsidR="00377C67">
        <w:t>,</w:t>
      </w:r>
      <w:r>
        <w:t xml:space="preserve"> internal productivity is a major challenge as the labour force shrinks due to population ageing.  According to Davey</w:t>
      </w:r>
      <w:r>
        <w:rPr>
          <w:rStyle w:val="FootnoteReference"/>
        </w:rPr>
        <w:footnoteReference w:id="33"/>
      </w:r>
      <w:r>
        <w:t xml:space="preserve"> this raises the prospect of reduc</w:t>
      </w:r>
      <w:r w:rsidR="00522C93">
        <w:t>ed economic growth and falling</w:t>
      </w:r>
      <w:r>
        <w:t xml:space="preserve"> standards if efforts are not made to improve labour force participation and increase productivity.  </w:t>
      </w:r>
      <w:r w:rsidR="00BC3EC1" w:rsidRPr="005B7683">
        <w:t>The Productivity Commission acknowledges that successful countries develop policies and strategies to mitigate or accommodate such factors</w:t>
      </w:r>
      <w:r w:rsidR="00BC3EC1">
        <w:t>, in order to improve living standards and wellbeing.</w:t>
      </w:r>
      <w:r w:rsidR="00BC3EC1">
        <w:rPr>
          <w:rStyle w:val="FootnoteReference"/>
        </w:rPr>
        <w:footnoteReference w:id="34"/>
      </w:r>
      <w:r>
        <w:t xml:space="preserve">  Callister notes that while many New Zealander’s are moving into older age better educated </w:t>
      </w:r>
      <w:r w:rsidR="001508A6">
        <w:t>the data</w:t>
      </w:r>
      <w:r>
        <w:t xml:space="preserve"> shows considerable diversity as a result of 80’s and 90’s unemployment.  </w:t>
      </w:r>
    </w:p>
    <w:p w:rsidR="004A6790" w:rsidRPr="00B329D0" w:rsidRDefault="004A6790" w:rsidP="004A6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ascii="Helvetica" w:hAnsi="Helvetica" w:cs="Helvetica"/>
        </w:rPr>
      </w:pPr>
      <w:r w:rsidRPr="000852E8">
        <w:t xml:space="preserve">New Zealand Treasury has concluded that </w:t>
      </w:r>
      <w:r w:rsidRPr="000852E8">
        <w:rPr>
          <w:i/>
        </w:rPr>
        <w:t>future policy needs to be developed within a framework that recogni</w:t>
      </w:r>
      <w:r>
        <w:rPr>
          <w:i/>
        </w:rPr>
        <w:t>s</w:t>
      </w:r>
      <w:r w:rsidRPr="000852E8">
        <w:rPr>
          <w:i/>
        </w:rPr>
        <w:t>es the potential ramifications of population ageing,</w:t>
      </w:r>
      <w:r w:rsidRPr="000852E8">
        <w:rPr>
          <w:rStyle w:val="FootnoteReference"/>
          <w:i/>
        </w:rPr>
        <w:footnoteReference w:id="35"/>
      </w:r>
      <w:r w:rsidRPr="000852E8">
        <w:rPr>
          <w:i/>
        </w:rPr>
        <w:t xml:space="preserve"> </w:t>
      </w:r>
      <w:r w:rsidRPr="000852E8">
        <w:t>because there will be negative growth in the New Zealand labour force affecting economic prospects.</w:t>
      </w:r>
      <w:r w:rsidRPr="000852E8">
        <w:rPr>
          <w:rStyle w:val="FootnoteReference"/>
        </w:rPr>
        <w:footnoteReference w:id="36"/>
      </w:r>
      <w:r>
        <w:t xml:space="preserve"> </w:t>
      </w:r>
    </w:p>
    <w:p w:rsidR="004A6790" w:rsidRDefault="004A6790" w:rsidP="004A6790">
      <w:pPr>
        <w:spacing w:before="120" w:after="120" w:line="320" w:lineRule="exact"/>
        <w:jc w:val="both"/>
        <w:rPr>
          <w:i/>
        </w:rPr>
      </w:pPr>
      <w:r w:rsidRPr="000852E8">
        <w:t xml:space="preserve">The certainty in New Zealand is that the dependency ratio will shift </w:t>
      </w:r>
      <w:r w:rsidRPr="000852E8">
        <w:rPr>
          <w:u w:val="single"/>
        </w:rPr>
        <w:t>permanently</w:t>
      </w:r>
      <w:r w:rsidRPr="000852E8">
        <w:t xml:space="preserve"> as the labour force will average growth of only 0.4% to 2050 and beyond.</w:t>
      </w:r>
      <w:r w:rsidRPr="000852E8">
        <w:rPr>
          <w:rStyle w:val="FootnoteReference"/>
        </w:rPr>
        <w:footnoteReference w:id="37"/>
      </w:r>
      <w:r w:rsidRPr="000852E8">
        <w:t xml:space="preserve"> </w:t>
      </w:r>
      <w:r>
        <w:t xml:space="preserve">  As the boomers retire there will be fewer people to replace the workforce.  Further, commenting on the changing demographic in New Zealand Natalie Jackson states; </w:t>
      </w:r>
    </w:p>
    <w:p w:rsidR="004A6790" w:rsidRPr="001508A6" w:rsidRDefault="004A6790" w:rsidP="004A6790">
      <w:pPr>
        <w:spacing w:before="120" w:after="120" w:line="320" w:lineRule="exact"/>
        <w:jc w:val="both"/>
      </w:pPr>
      <w:r>
        <w:rPr>
          <w:i/>
        </w:rPr>
        <w:t>Neither the boomer generation nor that of its children will be replaced “as they pass into history”.</w:t>
      </w:r>
      <w:r>
        <w:rPr>
          <w:rStyle w:val="FootnoteReference"/>
          <w:i/>
        </w:rPr>
        <w:footnoteReference w:id="38"/>
      </w:r>
    </w:p>
    <w:p w:rsidR="00E2318C" w:rsidRDefault="00376E27" w:rsidP="00B20C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rsidRPr="00F96288">
        <w:t xml:space="preserve">Older workers will feature prominently in future workplaces but not at the expense of younger workers. Over the next 40 years there will not be enough new workers to replace the baby boom generation as they exit the workforce. This indicates an ongoing need for lifelong learning and a focus on developing a productive innovative highly skilled, high-performing age-inclusive workforce. </w:t>
      </w:r>
    </w:p>
    <w:p w:rsidR="00376E27" w:rsidRDefault="00376E27" w:rsidP="00B20C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rsidRPr="00F96288">
        <w:t xml:space="preserve">New Zealand has a high and growing 65+ labour force participation rate. Statistics NZ projects that people aged 65+ in the labour force </w:t>
      </w:r>
      <w:r w:rsidR="00E2318C">
        <w:t>will increase to 1 in 3 in 2021</w:t>
      </w:r>
      <w:r w:rsidRPr="00F96288">
        <w:t>.</w:t>
      </w:r>
      <w:r w:rsidRPr="00F96288">
        <w:rPr>
          <w:rStyle w:val="FootnoteReference"/>
        </w:rPr>
        <w:footnoteReference w:id="39"/>
      </w:r>
      <w:r w:rsidRPr="00F96288">
        <w:t xml:space="preserve"> This is a certain shift towards more</w:t>
      </w:r>
      <w:r w:rsidR="0027688E">
        <w:t xml:space="preserve"> </w:t>
      </w:r>
      <w:r w:rsidRPr="00F96288">
        <w:t>older people and fewer young people where the ratio of population aged 65+ to the population 20-64 is likely to grow from 23% in 2006 to 50% by 2050.</w:t>
      </w:r>
      <w:r w:rsidRPr="00F96288">
        <w:rPr>
          <w:rStyle w:val="FootnoteReference"/>
        </w:rPr>
        <w:footnoteReference w:id="40"/>
      </w:r>
      <w:r w:rsidRPr="00F96288">
        <w:t xml:space="preserve"> There are implications for:</w:t>
      </w:r>
      <w:r>
        <w:t xml:space="preserve"> </w:t>
      </w:r>
      <w:r w:rsidRPr="004C565E">
        <w:t xml:space="preserve">economic growth, Government revenue, public and private spending, positioning of public debt, internal migration, housing, family structures and elder care. </w:t>
      </w:r>
      <w:r w:rsidRPr="004C565E">
        <w:rPr>
          <w:rStyle w:val="FootnoteReference"/>
        </w:rPr>
        <w:footnoteReference w:id="41"/>
      </w:r>
    </w:p>
    <w:p w:rsidR="00041DC6" w:rsidRDefault="00041DC6" w:rsidP="00B20C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cs="Helvetica"/>
        </w:rPr>
      </w:pPr>
      <w:r>
        <w:rPr>
          <w:rFonts w:cs="Helvetica"/>
        </w:rPr>
        <w:t>Initiatives such as flexible time and responsibility, orientation to more sedentary tasks and improved work environments have potential to maximi</w:t>
      </w:r>
      <w:r w:rsidR="00CB6C87">
        <w:rPr>
          <w:rFonts w:cs="Helvetica"/>
        </w:rPr>
        <w:t>s</w:t>
      </w:r>
      <w:r>
        <w:rPr>
          <w:rFonts w:cs="Helvetica"/>
        </w:rPr>
        <w:t>e the participation of older workers in the workforce to overcome labour and skill shortages. Davey notes that supply and demand issues may force employers to change attitudes and create a value for older workers.</w:t>
      </w:r>
    </w:p>
    <w:p w:rsidR="00041DC6" w:rsidRPr="000852E8" w:rsidRDefault="00041DC6" w:rsidP="00041DC6">
      <w:pPr>
        <w:spacing w:before="120" w:after="120" w:line="320" w:lineRule="exact"/>
        <w:jc w:val="both"/>
      </w:pPr>
      <w:r w:rsidRPr="000852E8">
        <w:t>Longer working lives will give potential to make use of the knowledge and experience of the most educated and healthy older people in our countries history. (130,000 65+ in 2012)</w:t>
      </w:r>
      <w:r w:rsidRPr="000852E8">
        <w:rPr>
          <w:rStyle w:val="FootnoteReference"/>
        </w:rPr>
        <w:footnoteReference w:id="42"/>
      </w:r>
      <w:r w:rsidRPr="000852E8">
        <w:t xml:space="preserve"> Choice or control over work transition is also seen to influence a person’s health and wellbeing in retirement. </w:t>
      </w:r>
      <w:r>
        <w:t>Choice</w:t>
      </w:r>
      <w:r w:rsidRPr="003C5BB8">
        <w:t xml:space="preserve"> is linked to w</w:t>
      </w:r>
      <w:r>
        <w:t>ellbeing for older workers according to a New Zealand study.</w:t>
      </w:r>
      <w:r w:rsidRPr="004F15CA">
        <w:rPr>
          <w:rStyle w:val="FootnoteReference"/>
        </w:rPr>
        <w:footnoteReference w:id="43"/>
      </w:r>
      <w:r>
        <w:t xml:space="preserve"> </w:t>
      </w:r>
      <w:r w:rsidRPr="000852E8">
        <w:t>Studies</w:t>
      </w:r>
      <w:r>
        <w:t xml:space="preserve"> also</w:t>
      </w:r>
      <w:r w:rsidRPr="000852E8">
        <w:t xml:space="preserve"> show that older people who work in low-stress jobs with the hours they desire experience better health.</w:t>
      </w:r>
      <w:r w:rsidRPr="000852E8">
        <w:rPr>
          <w:rStyle w:val="FootnoteReference"/>
        </w:rPr>
        <w:footnoteReference w:id="44"/>
      </w:r>
    </w:p>
    <w:p w:rsidR="001508A6" w:rsidRDefault="00376E27" w:rsidP="00CB6C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rsidRPr="00376E27">
        <w:t>The New Zealand reality is if retirement is not delayed there will be fewer and fewer pot</w:t>
      </w:r>
      <w:r w:rsidR="00E2318C">
        <w:t xml:space="preserve">ential workers per retiree. </w:t>
      </w:r>
      <w:r w:rsidR="00E2318C" w:rsidRPr="0027688E">
        <w:t>Figure</w:t>
      </w:r>
      <w:r w:rsidR="0027688E" w:rsidRPr="0027688E">
        <w:t xml:space="preserve"> 10</w:t>
      </w:r>
      <w:r w:rsidRPr="00376E27">
        <w:t xml:space="preserve"> illustrates the permanent nature of population ageing as the older age dependency ratio crosses over in NZ. Treasury has noted (2002 &amp; 2009) the need for need for politicians, policy makers and businesses to prepare to advantage future workforce and societal change. </w:t>
      </w:r>
    </w:p>
    <w:p w:rsidR="00376E27" w:rsidRPr="00376E27" w:rsidRDefault="00376E27" w:rsidP="00CB6C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rsidRPr="00376E27">
        <w:rPr>
          <w:i/>
        </w:rPr>
        <w:t>There is a need to plan for the permanent change in our population age structure that will evolve over the next few decades.</w:t>
      </w:r>
      <w:r w:rsidRPr="00376E27">
        <w:rPr>
          <w:rFonts w:cs="Helvetica"/>
          <w:i/>
        </w:rPr>
        <w:t xml:space="preserve"> </w:t>
      </w:r>
      <w:r w:rsidRPr="00376E27">
        <w:t>NZ Treasury 2009</w:t>
      </w:r>
    </w:p>
    <w:p w:rsidR="00376E27" w:rsidRDefault="00376E27" w:rsidP="003372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pPr>
    </w:p>
    <w:p w:rsidR="0033729F" w:rsidRPr="000852E8" w:rsidRDefault="0033729F" w:rsidP="003372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center"/>
      </w:pPr>
      <w:r w:rsidRPr="000852E8">
        <w:t xml:space="preserve">Fig. </w:t>
      </w:r>
      <w:r w:rsidR="0027688E">
        <w:t>10</w:t>
      </w:r>
      <w:r w:rsidRPr="000852E8">
        <w:t xml:space="preserve"> New Zealand Historical and Projected Dependency Ratio </w:t>
      </w:r>
    </w:p>
    <w:p w:rsidR="00A70D7E" w:rsidRDefault="00A70D7E" w:rsidP="003372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pPr>
    </w:p>
    <w:p w:rsidR="00A70D7E" w:rsidRPr="00AE685E" w:rsidRDefault="00A70D7E" w:rsidP="00A70D7E">
      <w:pPr>
        <w:jc w:val="center"/>
      </w:pPr>
      <w:r>
        <w:rPr>
          <w:noProof/>
          <w:lang w:val="en-US"/>
        </w:rPr>
        <w:drawing>
          <wp:inline distT="0" distB="0" distL="0" distR="0" wp14:anchorId="61B27E7A" wp14:editId="17AAFDF7">
            <wp:extent cx="4048125" cy="22860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048125" cy="2286000"/>
                    </a:xfrm>
                    <a:prstGeom prst="rect">
                      <a:avLst/>
                    </a:prstGeom>
                    <a:noFill/>
                    <a:ln>
                      <a:noFill/>
                    </a:ln>
                  </pic:spPr>
                </pic:pic>
              </a:graphicData>
            </a:graphic>
          </wp:inline>
        </w:drawing>
      </w:r>
    </w:p>
    <w:p w:rsidR="0033729F" w:rsidRPr="000852E8" w:rsidRDefault="00A70D7E" w:rsidP="003372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pPr>
      <w:r>
        <w:tab/>
      </w:r>
      <w:r>
        <w:tab/>
      </w:r>
      <w:r>
        <w:tab/>
      </w:r>
      <w:r w:rsidR="0033729F" w:rsidRPr="000852E8">
        <w:t>Statistics NZ 2006</w:t>
      </w:r>
    </w:p>
    <w:p w:rsidR="0033729F" w:rsidRPr="000852E8" w:rsidRDefault="0033729F" w:rsidP="00B20CA9">
      <w:pPr>
        <w:pStyle w:val="BodyText"/>
        <w:spacing w:line="320" w:lineRule="exact"/>
        <w:ind w:left="0"/>
        <w:jc w:val="both"/>
      </w:pPr>
      <w:r w:rsidRPr="000852E8">
        <w:t>N</w:t>
      </w:r>
      <w:r w:rsidR="00041DC6">
        <w:t xml:space="preserve">ew </w:t>
      </w:r>
      <w:r w:rsidRPr="000852E8">
        <w:t>Z</w:t>
      </w:r>
      <w:r w:rsidR="00041DC6">
        <w:t>ealand</w:t>
      </w:r>
      <w:r w:rsidRPr="000852E8">
        <w:t xml:space="preserve"> research indicates that some sectors will experience a greater impact from the changing labour force than others.</w:t>
      </w:r>
      <w:r w:rsidRPr="000852E8">
        <w:rPr>
          <w:rStyle w:val="FootnoteReference"/>
        </w:rPr>
        <w:footnoteReference w:id="45"/>
      </w:r>
      <w:r w:rsidRPr="000852E8">
        <w:t xml:space="preserve"> Manufacturing, transport and storage, education and health and community services sectors currently have a relatively high share of older workers and are experiencing the most significant increases in the proportion of workers aged over 50. As baby boomers begin to reach 65 these sectors will need to fin</w:t>
      </w:r>
      <w:r w:rsidR="001508A6">
        <w:t xml:space="preserve">d ways of retaining workers and </w:t>
      </w:r>
      <w:r w:rsidRPr="000852E8">
        <w:t>or attracting new workers. Health is one area where future workforce planning is critical. In addition to the ageing of the current health workforce, a proportionately larger older population will increase demand for health care and services.</w:t>
      </w:r>
    </w:p>
    <w:p w:rsidR="0033729F" w:rsidRDefault="0033729F" w:rsidP="00B20CA9">
      <w:pPr>
        <w:pStyle w:val="ListParagraph"/>
        <w:spacing w:before="120" w:after="120" w:line="320" w:lineRule="exact"/>
        <w:ind w:left="0"/>
        <w:jc w:val="both"/>
        <w:rPr>
          <w:rFonts w:ascii="Arial" w:hAnsi="Arial" w:cs="Arial"/>
        </w:rPr>
      </w:pPr>
      <w:r w:rsidRPr="000852E8">
        <w:rPr>
          <w:rFonts w:ascii="Arial" w:hAnsi="Arial" w:cs="Arial"/>
        </w:rPr>
        <w:t>There is growing evidence that mature workers face increased periods of unemployment or that age has become a barrier to employment (McGregor and Gray 2001, 2003). Further that not only is there diversity within male and female work opportunity but also in income</w:t>
      </w:r>
      <w:r w:rsidR="007872FD">
        <w:rPr>
          <w:rFonts w:ascii="Arial" w:hAnsi="Arial" w:cs="Arial"/>
        </w:rPr>
        <w:t>,</w:t>
      </w:r>
      <w:r w:rsidRPr="000852E8">
        <w:rPr>
          <w:rStyle w:val="FootnoteReference"/>
          <w:rFonts w:ascii="Arial" w:hAnsi="Arial" w:cs="Arial"/>
        </w:rPr>
        <w:footnoteReference w:id="46"/>
      </w:r>
      <w:r w:rsidRPr="000852E8">
        <w:rPr>
          <w:rFonts w:ascii="Arial" w:hAnsi="Arial" w:cs="Arial"/>
        </w:rPr>
        <w:t xml:space="preserve"> with female employment opportunity often in a low wage workplace.</w:t>
      </w:r>
      <w:r w:rsidRPr="000852E8">
        <w:rPr>
          <w:rStyle w:val="FootnoteReference"/>
          <w:rFonts w:ascii="Arial" w:hAnsi="Arial" w:cs="Arial"/>
        </w:rPr>
        <w:footnoteReference w:id="47"/>
      </w:r>
      <w:r w:rsidRPr="000852E8">
        <w:rPr>
          <w:rFonts w:ascii="Arial" w:hAnsi="Arial" w:cs="Arial"/>
        </w:rPr>
        <w:t xml:space="preserve"> A Victoria University review of the literature expresses the view that the New Zealand labour market will need to be more accommodating of the changing demographic, free from age discrimination, while understanding the value and benefit that older people provide to the economy, including investment in education, training and flexible work hours.</w:t>
      </w:r>
      <w:r w:rsidRPr="000852E8">
        <w:rPr>
          <w:rStyle w:val="FootnoteReference"/>
          <w:rFonts w:ascii="Arial" w:hAnsi="Arial" w:cs="Arial"/>
        </w:rPr>
        <w:footnoteReference w:id="48"/>
      </w:r>
      <w:r w:rsidRPr="000852E8">
        <w:rPr>
          <w:rFonts w:ascii="Arial" w:hAnsi="Arial" w:cs="Arial"/>
        </w:rPr>
        <w:t xml:space="preserve"> </w:t>
      </w:r>
    </w:p>
    <w:p w:rsidR="0033729F" w:rsidRDefault="0033729F" w:rsidP="0033729F">
      <w:pPr>
        <w:pStyle w:val="BodyText"/>
        <w:spacing w:line="320" w:lineRule="exact"/>
        <w:ind w:left="0"/>
      </w:pPr>
      <w:r w:rsidRPr="000852E8">
        <w:t>The New Zealand Business of Ageing Report suggests that a slowing labour market will create workplace change:</w:t>
      </w:r>
    </w:p>
    <w:p w:rsidR="0033729F" w:rsidRDefault="0033729F" w:rsidP="006C231E">
      <w:pPr>
        <w:pStyle w:val="BodyText"/>
        <w:numPr>
          <w:ilvl w:val="0"/>
          <w:numId w:val="6"/>
        </w:numPr>
        <w:tabs>
          <w:tab w:val="clear" w:pos="567"/>
        </w:tabs>
        <w:spacing w:line="320" w:lineRule="exact"/>
        <w:ind w:left="284" w:hanging="284"/>
      </w:pPr>
      <w:r>
        <w:t>The workforce will be older with more mature workers than young</w:t>
      </w:r>
      <w:r w:rsidR="003D6661">
        <w:t>;</w:t>
      </w:r>
    </w:p>
    <w:p w:rsidR="0033729F" w:rsidRDefault="00600646" w:rsidP="006C231E">
      <w:pPr>
        <w:pStyle w:val="BodyText"/>
        <w:numPr>
          <w:ilvl w:val="0"/>
          <w:numId w:val="6"/>
        </w:numPr>
        <w:tabs>
          <w:tab w:val="clear" w:pos="567"/>
        </w:tabs>
        <w:spacing w:line="320" w:lineRule="exact"/>
        <w:ind w:left="284" w:hanging="284"/>
      </w:pPr>
      <w:r>
        <w:t>There will be a n</w:t>
      </w:r>
      <w:r w:rsidR="0033729F">
        <w:t>eed for workforce adaptation and job mobility</w:t>
      </w:r>
      <w:r w:rsidR="003D6661">
        <w:t>;</w:t>
      </w:r>
    </w:p>
    <w:p w:rsidR="0033729F" w:rsidRDefault="0033729F" w:rsidP="006C231E">
      <w:pPr>
        <w:pStyle w:val="BodyText"/>
        <w:numPr>
          <w:ilvl w:val="0"/>
          <w:numId w:val="6"/>
        </w:numPr>
        <w:tabs>
          <w:tab w:val="clear" w:pos="567"/>
        </w:tabs>
        <w:spacing w:line="320" w:lineRule="exact"/>
        <w:ind w:left="284" w:hanging="284"/>
      </w:pPr>
      <w:r>
        <w:t>It is time to redefine outdated concepts of sudden retirement</w:t>
      </w:r>
      <w:r w:rsidR="003D6661">
        <w:t>;</w:t>
      </w:r>
    </w:p>
    <w:p w:rsidR="0033729F" w:rsidRDefault="0033729F" w:rsidP="006C231E">
      <w:pPr>
        <w:pStyle w:val="BodyText"/>
        <w:numPr>
          <w:ilvl w:val="0"/>
          <w:numId w:val="6"/>
        </w:numPr>
        <w:tabs>
          <w:tab w:val="clear" w:pos="567"/>
        </w:tabs>
        <w:spacing w:line="320" w:lineRule="exact"/>
        <w:ind w:left="284" w:hanging="284"/>
      </w:pPr>
      <w:r>
        <w:t>Employers will want access to</w:t>
      </w:r>
      <w:r w:rsidR="00600646">
        <w:t xml:space="preserve"> the</w:t>
      </w:r>
      <w:r>
        <w:t xml:space="preserve"> hard-to-replace skills of older workers</w:t>
      </w:r>
      <w:r w:rsidR="003D6661">
        <w:t>;</w:t>
      </w:r>
    </w:p>
    <w:p w:rsidR="0033729F" w:rsidRDefault="0033729F" w:rsidP="006C231E">
      <w:pPr>
        <w:pStyle w:val="BodyText"/>
        <w:numPr>
          <w:ilvl w:val="0"/>
          <w:numId w:val="6"/>
        </w:numPr>
        <w:tabs>
          <w:tab w:val="clear" w:pos="567"/>
        </w:tabs>
        <w:spacing w:line="320" w:lineRule="exact"/>
        <w:ind w:left="284" w:hanging="284"/>
      </w:pPr>
      <w:r>
        <w:t>More mature interest in continuing to work than previous generations</w:t>
      </w:r>
      <w:r w:rsidR="003D6661">
        <w:t>;</w:t>
      </w:r>
    </w:p>
    <w:p w:rsidR="00234C43" w:rsidRDefault="0033729F" w:rsidP="006C231E">
      <w:pPr>
        <w:pStyle w:val="BodyText"/>
        <w:numPr>
          <w:ilvl w:val="0"/>
          <w:numId w:val="6"/>
        </w:numPr>
        <w:tabs>
          <w:tab w:val="clear" w:pos="567"/>
        </w:tabs>
        <w:spacing w:line="320" w:lineRule="exact"/>
        <w:ind w:left="284" w:hanging="284"/>
      </w:pPr>
      <w:r>
        <w:t>Succession planning will be vital to ensure valuable knowledge and skills aren’t lost as baby boomers leave the workforce</w:t>
      </w:r>
      <w:r w:rsidR="003D6661">
        <w:t>.</w:t>
      </w:r>
    </w:p>
    <w:p w:rsidR="00234C43" w:rsidRPr="00297800" w:rsidRDefault="00234C43" w:rsidP="00234C43">
      <w:pPr>
        <w:widowControl w:val="0"/>
        <w:autoSpaceDE w:val="0"/>
        <w:autoSpaceDN w:val="0"/>
        <w:adjustRightInd w:val="0"/>
        <w:spacing w:before="120" w:after="120" w:line="320" w:lineRule="exact"/>
      </w:pPr>
      <w:r>
        <w:t>This</w:t>
      </w:r>
      <w:r w:rsidRPr="00297800">
        <w:t xml:space="preserve"> report</w:t>
      </w:r>
      <w:r>
        <w:t xml:space="preserve"> also</w:t>
      </w:r>
      <w:r w:rsidRPr="00297800">
        <w:t xml:space="preserve"> indicates that:</w:t>
      </w:r>
    </w:p>
    <w:p w:rsidR="00234C43" w:rsidRPr="00297800" w:rsidRDefault="00234C43" w:rsidP="006C231E">
      <w:pPr>
        <w:pStyle w:val="ListParagraph"/>
        <w:numPr>
          <w:ilvl w:val="0"/>
          <w:numId w:val="17"/>
        </w:numPr>
        <w:spacing w:after="0" w:line="320" w:lineRule="exact"/>
        <w:ind w:left="284" w:hanging="284"/>
        <w:jc w:val="both"/>
        <w:rPr>
          <w:rFonts w:ascii="Arial" w:hAnsi="Arial" w:cs="Arial"/>
        </w:rPr>
      </w:pPr>
      <w:r w:rsidRPr="00297800">
        <w:rPr>
          <w:rFonts w:ascii="Arial" w:hAnsi="Arial" w:cs="Arial"/>
        </w:rPr>
        <w:t>More people 65+ will participate in the workforce reaching 7-10% by 2050</w:t>
      </w:r>
      <w:r w:rsidR="00CB6C87">
        <w:rPr>
          <w:rFonts w:ascii="Arial" w:hAnsi="Arial" w:cs="Arial"/>
        </w:rPr>
        <w:t>,</w:t>
      </w:r>
    </w:p>
    <w:p w:rsidR="00234C43" w:rsidRPr="00297800" w:rsidRDefault="00234C43" w:rsidP="006C231E">
      <w:pPr>
        <w:pStyle w:val="ListParagraph"/>
        <w:numPr>
          <w:ilvl w:val="0"/>
          <w:numId w:val="17"/>
        </w:numPr>
        <w:spacing w:after="0" w:line="320" w:lineRule="exact"/>
        <w:ind w:left="284" w:hanging="284"/>
        <w:jc w:val="both"/>
        <w:rPr>
          <w:rFonts w:ascii="Arial" w:hAnsi="Arial" w:cs="Arial"/>
        </w:rPr>
      </w:pPr>
      <w:r w:rsidRPr="00297800">
        <w:rPr>
          <w:rFonts w:ascii="Arial" w:hAnsi="Arial" w:cs="Arial"/>
        </w:rPr>
        <w:t xml:space="preserve">The economic value of 65+ </w:t>
      </w:r>
      <w:r w:rsidR="003B0C5B" w:rsidRPr="00297800">
        <w:rPr>
          <w:rFonts w:ascii="Arial" w:hAnsi="Arial" w:cs="Arial"/>
        </w:rPr>
        <w:t>workers</w:t>
      </w:r>
      <w:r w:rsidRPr="00297800">
        <w:rPr>
          <w:rFonts w:ascii="Arial" w:hAnsi="Arial" w:cs="Arial"/>
        </w:rPr>
        <w:t xml:space="preserve"> paid work will increase, with earnings rising from just over $ 1billion to $10 billion in 2051</w:t>
      </w:r>
      <w:r w:rsidR="00CB6C87">
        <w:rPr>
          <w:rFonts w:ascii="Arial" w:hAnsi="Arial" w:cs="Arial"/>
        </w:rPr>
        <w:t>,</w:t>
      </w:r>
      <w:r w:rsidRPr="00297800">
        <w:rPr>
          <w:rStyle w:val="FootnoteReference"/>
          <w:rFonts w:ascii="Arial" w:hAnsi="Arial" w:cs="Arial"/>
        </w:rPr>
        <w:footnoteReference w:id="49"/>
      </w:r>
    </w:p>
    <w:p w:rsidR="00234C43" w:rsidRPr="00297800" w:rsidRDefault="00234C43" w:rsidP="006C231E">
      <w:pPr>
        <w:pStyle w:val="ListParagraph"/>
        <w:numPr>
          <w:ilvl w:val="0"/>
          <w:numId w:val="17"/>
        </w:numPr>
        <w:spacing w:after="0" w:line="320" w:lineRule="exact"/>
        <w:ind w:left="284" w:hanging="284"/>
        <w:jc w:val="both"/>
        <w:rPr>
          <w:rFonts w:ascii="Arial" w:hAnsi="Arial" w:cs="Arial"/>
        </w:rPr>
      </w:pPr>
      <w:r w:rsidRPr="00297800">
        <w:rPr>
          <w:rFonts w:ascii="Arial" w:hAnsi="Arial" w:cs="Arial"/>
        </w:rPr>
        <w:t>The value of unpaid and voluntary work could rise from an estimated $5-6 billion in 2011 to over $22 billion by 2051</w:t>
      </w:r>
      <w:r w:rsidR="00CB6C87">
        <w:rPr>
          <w:rFonts w:ascii="Arial" w:hAnsi="Arial" w:cs="Arial"/>
        </w:rPr>
        <w:t>,</w:t>
      </w:r>
    </w:p>
    <w:p w:rsidR="00234C43" w:rsidRPr="00297800" w:rsidRDefault="00234C43" w:rsidP="006C231E">
      <w:pPr>
        <w:pStyle w:val="ListParagraph"/>
        <w:numPr>
          <w:ilvl w:val="0"/>
          <w:numId w:val="17"/>
        </w:numPr>
        <w:spacing w:after="0" w:line="320" w:lineRule="exact"/>
        <w:ind w:left="284" w:hanging="284"/>
        <w:jc w:val="both"/>
        <w:rPr>
          <w:rFonts w:ascii="Arial" w:hAnsi="Arial" w:cs="Arial"/>
        </w:rPr>
      </w:pPr>
      <w:r w:rsidRPr="00297800">
        <w:rPr>
          <w:rFonts w:ascii="Arial" w:hAnsi="Arial" w:cs="Arial"/>
        </w:rPr>
        <w:t xml:space="preserve">Older New Zealanders are projected to pay tax on earnings rising from about $200 </w:t>
      </w:r>
      <w:r w:rsidR="00CB6C87">
        <w:rPr>
          <w:rFonts w:ascii="Arial" w:hAnsi="Arial" w:cs="Arial"/>
        </w:rPr>
        <w:t>million to $1.8 billion in 2050,</w:t>
      </w:r>
    </w:p>
    <w:p w:rsidR="00041DC6" w:rsidRDefault="00234C43" w:rsidP="006C231E">
      <w:pPr>
        <w:pStyle w:val="ListParagraph"/>
        <w:numPr>
          <w:ilvl w:val="0"/>
          <w:numId w:val="17"/>
        </w:numPr>
        <w:spacing w:before="120" w:after="120" w:line="320" w:lineRule="exact"/>
        <w:ind w:left="284" w:hanging="284"/>
        <w:jc w:val="both"/>
        <w:rPr>
          <w:rFonts w:ascii="Arial" w:hAnsi="Arial" w:cs="Arial"/>
        </w:rPr>
      </w:pPr>
      <w:r w:rsidRPr="00297800">
        <w:rPr>
          <w:rFonts w:ascii="Arial" w:hAnsi="Arial" w:cs="Arial"/>
        </w:rPr>
        <w:t>Consumer spending is expected in particular commodities, the value is estimated to grow from $10 bil</w:t>
      </w:r>
      <w:r>
        <w:rPr>
          <w:rFonts w:ascii="Arial" w:hAnsi="Arial" w:cs="Arial"/>
        </w:rPr>
        <w:t xml:space="preserve">lion in 2011 to $45 billion in </w:t>
      </w:r>
      <w:r w:rsidRPr="00297800">
        <w:rPr>
          <w:rFonts w:ascii="Arial" w:hAnsi="Arial" w:cs="Arial"/>
        </w:rPr>
        <w:t>2051.</w:t>
      </w:r>
      <w:bookmarkStart w:id="30" w:name="_Toc336863681"/>
    </w:p>
    <w:p w:rsidR="00CB6C87" w:rsidRDefault="00CB6C87" w:rsidP="00CB6C87">
      <w:pPr>
        <w:pStyle w:val="ListParagraph"/>
        <w:spacing w:before="120" w:after="120" w:line="320" w:lineRule="exact"/>
        <w:ind w:left="284"/>
        <w:jc w:val="both"/>
        <w:rPr>
          <w:rFonts w:ascii="Arial" w:hAnsi="Arial" w:cs="Arial"/>
        </w:rPr>
      </w:pPr>
    </w:p>
    <w:p w:rsidR="0033729F" w:rsidRPr="00A52B3E" w:rsidRDefault="0033729F" w:rsidP="00B20CA9">
      <w:pPr>
        <w:pStyle w:val="Heading2"/>
        <w:spacing w:before="120" w:after="120" w:line="320" w:lineRule="exact"/>
        <w:rPr>
          <w:rFonts w:ascii="Arial" w:hAnsi="Arial"/>
          <w:u w:val="none"/>
        </w:rPr>
      </w:pPr>
      <w:bookmarkStart w:id="31" w:name="_Toc340245235"/>
      <w:r w:rsidRPr="00A52B3E">
        <w:rPr>
          <w:rFonts w:ascii="Arial" w:hAnsi="Arial"/>
          <w:u w:val="none"/>
        </w:rPr>
        <w:t>Western Bay of Plenty</w:t>
      </w:r>
      <w:r w:rsidR="0084286B" w:rsidRPr="00A52B3E">
        <w:rPr>
          <w:rFonts w:ascii="Arial" w:hAnsi="Arial"/>
          <w:u w:val="none"/>
        </w:rPr>
        <w:t xml:space="preserve"> sub-region</w:t>
      </w:r>
      <w:r w:rsidRPr="00A52B3E">
        <w:rPr>
          <w:rFonts w:ascii="Arial" w:hAnsi="Arial"/>
          <w:u w:val="none"/>
        </w:rPr>
        <w:t>: A certain and uncertain reality</w:t>
      </w:r>
      <w:bookmarkEnd w:id="30"/>
      <w:bookmarkEnd w:id="31"/>
    </w:p>
    <w:p w:rsidR="000852E8" w:rsidRPr="000852E8" w:rsidRDefault="000852E8" w:rsidP="00B20CA9">
      <w:pPr>
        <w:spacing w:before="120" w:after="120" w:line="320" w:lineRule="exact"/>
        <w:jc w:val="both"/>
        <w:rPr>
          <w:i/>
        </w:rPr>
      </w:pPr>
      <w:r w:rsidRPr="000852E8">
        <w:rPr>
          <w:i/>
        </w:rPr>
        <w:t>”Everyone knows of the likelihood of the impact, but not the magnitude of the impact.” OECD 2011</w:t>
      </w:r>
    </w:p>
    <w:p w:rsidR="007872FD" w:rsidRDefault="007872FD" w:rsidP="00B20CA9">
      <w:pPr>
        <w:spacing w:before="120" w:after="120" w:line="320" w:lineRule="exact"/>
        <w:jc w:val="both"/>
        <w:rPr>
          <w:rFonts w:cs="Franklin Gothic Book"/>
          <w:szCs w:val="26"/>
        </w:rPr>
      </w:pPr>
      <w:r w:rsidRPr="000E5B98">
        <w:t>It is certain that population ageing will influence the economy in the Western Bay of Plenty.</w:t>
      </w:r>
      <w:r>
        <w:t xml:space="preserve"> </w:t>
      </w:r>
      <w:r w:rsidR="00041DC6">
        <w:t>T</w:t>
      </w:r>
      <w:r w:rsidRPr="000E5B98">
        <w:t xml:space="preserve">he influence of global markets, </w:t>
      </w:r>
      <w:r>
        <w:t xml:space="preserve">a rapidly ageing labour force, </w:t>
      </w:r>
      <w:r w:rsidRPr="000E5B98">
        <w:t xml:space="preserve">a growing </w:t>
      </w:r>
      <w:r>
        <w:t xml:space="preserve">youthful </w:t>
      </w:r>
      <w:r w:rsidR="00377C67">
        <w:t>Māori</w:t>
      </w:r>
      <w:r w:rsidRPr="000E5B98">
        <w:t xml:space="preserve"> population and potential inward migration as an attractive family, ‘retirement’ and business lifestyle destination create </w:t>
      </w:r>
      <w:r w:rsidR="001C7AE8">
        <w:t>an</w:t>
      </w:r>
      <w:r w:rsidRPr="000E5B98">
        <w:t xml:space="preserve"> uncertain ‘space’.</w:t>
      </w:r>
      <w:r w:rsidR="001C7AE8">
        <w:t xml:space="preserve"> </w:t>
      </w:r>
      <w:r w:rsidRPr="000E5B98">
        <w:t xml:space="preserve"> </w:t>
      </w:r>
      <w:r>
        <w:rPr>
          <w:rFonts w:cs="Franklin Gothic Book"/>
          <w:szCs w:val="26"/>
        </w:rPr>
        <w:t>It</w:t>
      </w:r>
      <w:r w:rsidRPr="000E5B98">
        <w:rPr>
          <w:rFonts w:cs="Franklin Gothic Book"/>
          <w:szCs w:val="26"/>
        </w:rPr>
        <w:t xml:space="preserve"> will affect almost every aspect of our live work and play </w:t>
      </w:r>
      <w:r>
        <w:rPr>
          <w:rFonts w:cs="Franklin Gothic Book"/>
          <w:szCs w:val="26"/>
        </w:rPr>
        <w:t>environments in the Bay.</w:t>
      </w:r>
      <w:r w:rsidRPr="000E5B98">
        <w:rPr>
          <w:rFonts w:cs="Franklin Gothic Book"/>
          <w:szCs w:val="26"/>
        </w:rPr>
        <w:t xml:space="preserve"> </w:t>
      </w:r>
    </w:p>
    <w:p w:rsidR="007872FD" w:rsidRDefault="007872FD" w:rsidP="00B20CA9">
      <w:pPr>
        <w:spacing w:before="120" w:after="120" w:line="320" w:lineRule="exact"/>
        <w:jc w:val="both"/>
        <w:rPr>
          <w:rFonts w:cs="Franklin Gothic Book"/>
          <w:szCs w:val="26"/>
        </w:rPr>
      </w:pPr>
      <w:r>
        <w:rPr>
          <w:rFonts w:cs="Franklin Gothic Book"/>
          <w:szCs w:val="26"/>
        </w:rPr>
        <w:t xml:space="preserve">Vitally, it will </w:t>
      </w:r>
      <w:r w:rsidR="00041DC6">
        <w:rPr>
          <w:rFonts w:cs="Franklin Gothic Book"/>
          <w:szCs w:val="26"/>
        </w:rPr>
        <w:t>necessitate</w:t>
      </w:r>
      <w:r>
        <w:rPr>
          <w:rFonts w:cs="Franklin Gothic Book"/>
          <w:szCs w:val="26"/>
        </w:rPr>
        <w:t xml:space="preserve"> decisions on the viability of public and private business investment, the way markets are targeted in New Zealand and to the changing world environment. </w:t>
      </w:r>
      <w:r w:rsidRPr="000E5B98">
        <w:rPr>
          <w:rFonts w:cs="Franklin Gothic Book"/>
          <w:szCs w:val="26"/>
        </w:rPr>
        <w:t xml:space="preserve"> </w:t>
      </w:r>
      <w:r>
        <w:rPr>
          <w:rFonts w:cs="Franklin Gothic Book"/>
          <w:szCs w:val="26"/>
        </w:rPr>
        <w:t xml:space="preserve">It will </w:t>
      </w:r>
      <w:r w:rsidR="00041DC6">
        <w:rPr>
          <w:rFonts w:cs="Franklin Gothic Book"/>
          <w:szCs w:val="26"/>
        </w:rPr>
        <w:t>impact</w:t>
      </w:r>
      <w:r>
        <w:rPr>
          <w:rFonts w:cs="Franklin Gothic Book"/>
          <w:szCs w:val="26"/>
        </w:rPr>
        <w:t xml:space="preserve"> how </w:t>
      </w:r>
      <w:r w:rsidRPr="000E5B98">
        <w:rPr>
          <w:rFonts w:cs="Franklin Gothic Book"/>
          <w:szCs w:val="26"/>
        </w:rPr>
        <w:t>work</w:t>
      </w:r>
      <w:r w:rsidR="00041DC6">
        <w:rPr>
          <w:rFonts w:cs="Franklin Gothic Book"/>
          <w:szCs w:val="26"/>
        </w:rPr>
        <w:t>places are</w:t>
      </w:r>
      <w:r w:rsidRPr="000E5B98">
        <w:rPr>
          <w:rFonts w:cs="Franklin Gothic Book"/>
          <w:szCs w:val="26"/>
        </w:rPr>
        <w:t xml:space="preserve"> organised, our urban planning, the design of housing, public transport, voting behaviour and the infrastructure of shopping possibilities in our communities. </w:t>
      </w:r>
      <w:r w:rsidR="00041DC6" w:rsidRPr="0027688E">
        <w:rPr>
          <w:rFonts w:cs="Franklin Gothic Book"/>
          <w:szCs w:val="26"/>
        </w:rPr>
        <w:t>Lower productivity is a</w:t>
      </w:r>
      <w:r w:rsidRPr="0027688E">
        <w:rPr>
          <w:rFonts w:cs="Franklin Gothic Book"/>
          <w:szCs w:val="26"/>
        </w:rPr>
        <w:t xml:space="preserve"> probable outcome, together with </w:t>
      </w:r>
      <w:r w:rsidR="001C7AE8" w:rsidRPr="0027688E">
        <w:rPr>
          <w:rFonts w:cs="Franklin Gothic Book"/>
          <w:szCs w:val="26"/>
        </w:rPr>
        <w:t>increased</w:t>
      </w:r>
      <w:r w:rsidRPr="0027688E">
        <w:rPr>
          <w:rFonts w:cs="Franklin Gothic Book"/>
          <w:szCs w:val="26"/>
        </w:rPr>
        <w:t xml:space="preserve"> politicisation of local Government decision-making</w:t>
      </w:r>
      <w:r>
        <w:rPr>
          <w:rFonts w:cs="Franklin Gothic Book"/>
          <w:szCs w:val="26"/>
        </w:rPr>
        <w:t xml:space="preserve"> </w:t>
      </w:r>
      <w:r w:rsidR="001C7AE8">
        <w:rPr>
          <w:rFonts w:cs="Franklin Gothic Book"/>
          <w:szCs w:val="26"/>
        </w:rPr>
        <w:t xml:space="preserve">and health </w:t>
      </w:r>
      <w:r>
        <w:rPr>
          <w:rFonts w:cs="Franklin Gothic Book"/>
          <w:szCs w:val="26"/>
        </w:rPr>
        <w:t xml:space="preserve">priorities. </w:t>
      </w:r>
    </w:p>
    <w:p w:rsidR="007872FD" w:rsidRDefault="007872FD" w:rsidP="00B20CA9">
      <w:pPr>
        <w:spacing w:before="120" w:after="120" w:line="320" w:lineRule="exact"/>
        <w:jc w:val="both"/>
        <w:rPr>
          <w:rFonts w:cs="Calibri"/>
        </w:rPr>
      </w:pPr>
      <w:r w:rsidRPr="000E5B98">
        <w:rPr>
          <w:rFonts w:cs="Franklin Gothic Book"/>
          <w:szCs w:val="26"/>
        </w:rPr>
        <w:t>It is also certain that the economic prosperity of the sub-region</w:t>
      </w:r>
      <w:r w:rsidRPr="000E5B98">
        <w:rPr>
          <w:rFonts w:cs="Calibri"/>
        </w:rPr>
        <w:t xml:space="preserve"> depends crucially on the size and quality of the workforce.</w:t>
      </w:r>
    </w:p>
    <w:p w:rsidR="00531BC1" w:rsidRPr="00136A1C" w:rsidRDefault="00CB6C87" w:rsidP="00531BC1">
      <w:pPr>
        <w:spacing w:before="120" w:after="120" w:line="320" w:lineRule="exact"/>
        <w:jc w:val="both"/>
      </w:pPr>
      <w:r w:rsidRPr="00136A1C">
        <w:t>Unlike</w:t>
      </w:r>
      <w:r w:rsidR="00531BC1" w:rsidRPr="00136A1C">
        <w:t xml:space="preserve"> many regions the Western Bay of Plenty sub-region is well positioned and may expect to reach above average low to medium population growth influenced by a continuing trend towards lifestyle preretirement and retirement living. However, lower growth and falls in the labour force can be expected. A number of variables will create a dynamic economic climate that includes a new potential for ‘boomer market’ opportunity in the region. </w:t>
      </w:r>
      <w:r w:rsidR="00531BC1" w:rsidRPr="00136A1C">
        <w:rPr>
          <w:rStyle w:val="FootnoteReference"/>
        </w:rPr>
        <w:footnoteReference w:id="50"/>
      </w:r>
      <w:r w:rsidR="00531BC1" w:rsidRPr="00136A1C">
        <w:t xml:space="preserve"> Some of the variables include:</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High structural ageing</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High ageing rural communities</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Increased aged urbani</w:t>
      </w:r>
      <w:r w:rsidR="00136A1C">
        <w:rPr>
          <w:rFonts w:ascii="Arial" w:hAnsi="Arial" w:cs="Arial"/>
        </w:rPr>
        <w:t>s</w:t>
      </w:r>
      <w:r w:rsidRPr="00136A1C">
        <w:rPr>
          <w:rFonts w:ascii="Arial" w:hAnsi="Arial" w:cs="Arial"/>
        </w:rPr>
        <w:t>ation</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Increasing M</w:t>
      </w:r>
      <w:r w:rsidR="00136A1C">
        <w:rPr>
          <w:rFonts w:ascii="Arial" w:hAnsi="Arial" w:cs="Arial"/>
        </w:rPr>
        <w:t>ā</w:t>
      </w:r>
      <w:r w:rsidRPr="00136A1C">
        <w:rPr>
          <w:rFonts w:ascii="Arial" w:hAnsi="Arial" w:cs="Arial"/>
        </w:rPr>
        <w:t>ori fertility</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Sustainability of export commodity markets risk.</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Public and private business investment risk</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Sub-regional productivity.</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Loss of labour, skill and knowledge</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Social and health service high skill labour shortage.</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Predictable elder care challenges.</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Affordable Lifemark housing.</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Innovation</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Employer adaption to flexible workplaces</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Interest rate change</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Value of the NZ dollar</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Migration and immigration -growing international demand for transferable skills.</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Flexible short and temporary employment.</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Negative impact on living standards.</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Increasing 65+ diversity</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High increasing 80+ dependency</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Increased 65+ productivity and labour participation</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Changing consumer habits and choices.</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Increased leisure opportunity</w:t>
      </w:r>
    </w:p>
    <w:p w:rsidR="00531BC1" w:rsidRPr="00136A1C" w:rsidRDefault="00531BC1" w:rsidP="006C231E">
      <w:pPr>
        <w:pStyle w:val="ListParagraph"/>
        <w:numPr>
          <w:ilvl w:val="0"/>
          <w:numId w:val="16"/>
        </w:numPr>
        <w:spacing w:after="0" w:line="320" w:lineRule="exact"/>
        <w:ind w:left="567" w:hanging="567"/>
        <w:rPr>
          <w:rFonts w:ascii="Arial" w:hAnsi="Arial" w:cs="Arial"/>
        </w:rPr>
      </w:pPr>
      <w:r w:rsidRPr="00136A1C">
        <w:rPr>
          <w:rFonts w:ascii="Arial" w:hAnsi="Arial" w:cs="Arial"/>
        </w:rPr>
        <w:t>Mature tourism</w:t>
      </w:r>
    </w:p>
    <w:p w:rsidR="00531BC1" w:rsidRPr="00136A1C" w:rsidRDefault="00531BC1" w:rsidP="006C231E">
      <w:pPr>
        <w:pStyle w:val="ListParagraph"/>
        <w:numPr>
          <w:ilvl w:val="0"/>
          <w:numId w:val="16"/>
        </w:numPr>
        <w:spacing w:before="120" w:after="120" w:line="320" w:lineRule="exact"/>
        <w:ind w:left="567" w:hanging="567"/>
        <w:rPr>
          <w:rFonts w:ascii="Arial" w:hAnsi="Arial" w:cs="Arial"/>
        </w:rPr>
      </w:pPr>
      <w:r w:rsidRPr="00136A1C">
        <w:rPr>
          <w:rFonts w:ascii="Arial" w:hAnsi="Arial" w:cs="Arial"/>
        </w:rPr>
        <w:t>Demand for lifelong learning</w:t>
      </w:r>
    </w:p>
    <w:p w:rsidR="003E444F" w:rsidRPr="007872FD" w:rsidRDefault="003E444F" w:rsidP="00C52177">
      <w:pPr>
        <w:spacing w:before="120" w:after="120" w:line="320" w:lineRule="exact"/>
      </w:pPr>
      <w:r>
        <w:t xml:space="preserve">As the population structure changes reflecting a continuing decline due to ageing (deaths) and continuing decline of our younger generations births, the median age shifts.  In the sub-region Tauranga will experience a shift from 38.9 years in 2006 to 41.7, while Western Bay of Plenty District median shifts from 41.7 in 2006 to 48.1 in </w:t>
      </w:r>
      <w:r w:rsidRPr="00AA46DA">
        <w:t>2</w:t>
      </w:r>
      <w:r w:rsidR="00C52177" w:rsidRPr="00AA46DA">
        <w:t>03</w:t>
      </w:r>
      <w:r w:rsidRPr="00AA46DA">
        <w:t>1</w:t>
      </w:r>
      <w:r>
        <w:t>.</w:t>
      </w:r>
      <w:r>
        <w:rPr>
          <w:rStyle w:val="FootnoteReference"/>
        </w:rPr>
        <w:footnoteReference w:id="51"/>
      </w:r>
      <w:r w:rsidR="00C52177" w:rsidRPr="00C52177">
        <w:t xml:space="preserve"> </w:t>
      </w:r>
      <w:r w:rsidR="00C52177" w:rsidRPr="007872FD">
        <w:t>Projected median age shifts in the sub-region are an indicator of labour force capacity</w:t>
      </w:r>
    </w:p>
    <w:p w:rsidR="003E444F" w:rsidRDefault="007872FD" w:rsidP="00B20C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rsidRPr="00450945">
        <w:t>Economi</w:t>
      </w:r>
      <w:r>
        <w:t xml:space="preserve">c growth in the Western Bay of </w:t>
      </w:r>
      <w:r w:rsidRPr="00450945">
        <w:t>Plenty has in the recent past been characteri</w:t>
      </w:r>
      <w:r w:rsidR="001C7AE8">
        <w:t>s</w:t>
      </w:r>
      <w:r w:rsidRPr="00450945">
        <w:t xml:space="preserve">ed by </w:t>
      </w:r>
      <w:r>
        <w:t xml:space="preserve">volume based population growth and </w:t>
      </w:r>
      <w:r w:rsidRPr="00450945">
        <w:t>high</w:t>
      </w:r>
      <w:r>
        <w:t>, predominantly female, low income service sector,</w:t>
      </w:r>
      <w:r w:rsidRPr="00450945">
        <w:t xml:space="preserve"> primary produce and food production, health services, the construction industry and the logistics transport and storage industries in that order of labour force engagement.</w:t>
      </w:r>
      <w:r>
        <w:t xml:space="preserve"> NZEIR reported in 2002 on these occupational and industry trends.</w:t>
      </w:r>
      <w:r w:rsidRPr="00450945">
        <w:rPr>
          <w:rStyle w:val="FootnoteReference"/>
        </w:rPr>
        <w:footnoteReference w:id="52"/>
      </w:r>
      <w:r w:rsidRPr="00450945">
        <w:t xml:space="preserve"> </w:t>
      </w:r>
    </w:p>
    <w:p w:rsidR="007872FD" w:rsidRDefault="007872FD" w:rsidP="00B20CA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cs="Verdana"/>
        </w:rPr>
      </w:pPr>
      <w:r>
        <w:t>In the same period McKinl</w:t>
      </w:r>
      <w:r w:rsidR="00C52177">
        <w:t>a</w:t>
      </w:r>
      <w:r>
        <w:t>y Douglas examined future implications for the economy of the region, noting that the past growth trends were unlikely to continue, predicting a future low growth low-income threshold, possibly without high-income job prospects.</w:t>
      </w:r>
      <w:r>
        <w:rPr>
          <w:rStyle w:val="FootnoteReference"/>
        </w:rPr>
        <w:footnoteReference w:id="53"/>
      </w:r>
      <w:r>
        <w:t xml:space="preserve"> The report proposed action to build a future that include</w:t>
      </w:r>
      <w:r w:rsidR="00C52177">
        <w:t>d</w:t>
      </w:r>
      <w:r>
        <w:t xml:space="preserve"> more emphasis on ‘human capital building’ creating a culture for knowledge and entrepreneurial skills. Further</w:t>
      </w:r>
      <w:r w:rsidR="003E444F">
        <w:t>,</w:t>
      </w:r>
      <w:r>
        <w:t xml:space="preserve"> </w:t>
      </w:r>
      <w:r w:rsidRPr="008724E6">
        <w:t>that</w:t>
      </w:r>
      <w:r w:rsidRPr="008724E6">
        <w:rPr>
          <w:rFonts w:ascii="Verdana" w:hAnsi="Verdana" w:cs="Verdana"/>
        </w:rPr>
        <w:t xml:space="preserve"> </w:t>
      </w:r>
      <w:r w:rsidRPr="008724E6">
        <w:rPr>
          <w:rFonts w:cs="Verdana"/>
        </w:rPr>
        <w:t>effective, economic development needs to be strategy-based rather than a series of ad hoc measures</w:t>
      </w:r>
      <w:r w:rsidRPr="008724E6">
        <w:rPr>
          <w:rFonts w:cs="Verdana"/>
          <w:i/>
        </w:rPr>
        <w:t xml:space="preserve">. </w:t>
      </w:r>
      <w:r w:rsidRPr="00AF4698">
        <w:rPr>
          <w:rFonts w:cs="Verdana"/>
          <w:szCs w:val="20"/>
        </w:rPr>
        <w:t>This approach</w:t>
      </w:r>
      <w:r w:rsidRPr="00AF4698">
        <w:rPr>
          <w:rFonts w:ascii="Verdana" w:hAnsi="Verdana" w:cs="Verdana"/>
          <w:i/>
          <w:szCs w:val="20"/>
        </w:rPr>
        <w:t xml:space="preserve"> </w:t>
      </w:r>
      <w:r w:rsidRPr="00AF4698">
        <w:rPr>
          <w:rFonts w:cs="Verdana"/>
          <w:szCs w:val="20"/>
        </w:rPr>
        <w:t xml:space="preserve">has </w:t>
      </w:r>
      <w:r>
        <w:rPr>
          <w:rFonts w:cs="Verdana"/>
          <w:szCs w:val="20"/>
        </w:rPr>
        <w:t xml:space="preserve">not yet </w:t>
      </w:r>
      <w:r w:rsidRPr="00AF4698">
        <w:rPr>
          <w:rFonts w:cs="Verdana"/>
          <w:szCs w:val="20"/>
        </w:rPr>
        <w:t>eventuated. Women increasingly continue to be low</w:t>
      </w:r>
      <w:r>
        <w:rPr>
          <w:rFonts w:cs="Verdana"/>
          <w:szCs w:val="20"/>
        </w:rPr>
        <w:t>-</w:t>
      </w:r>
      <w:r w:rsidRPr="00AF4698">
        <w:rPr>
          <w:rFonts w:cs="Verdana"/>
          <w:szCs w:val="20"/>
        </w:rPr>
        <w:t xml:space="preserve">income service workers particularly in the elder care industry predisposing longer life poverty. Nor has the suggested centre for excellence in gerontology been advanced to build capacity </w:t>
      </w:r>
      <w:r>
        <w:rPr>
          <w:rFonts w:cs="Verdana"/>
          <w:szCs w:val="20"/>
        </w:rPr>
        <w:t xml:space="preserve">and innovation </w:t>
      </w:r>
      <w:r w:rsidRPr="00AF4698">
        <w:rPr>
          <w:rFonts w:cs="Verdana"/>
          <w:szCs w:val="20"/>
        </w:rPr>
        <w:t xml:space="preserve">as a ‘retirement’ </w:t>
      </w:r>
      <w:r w:rsidR="003E444F">
        <w:rPr>
          <w:rFonts w:cs="Verdana"/>
        </w:rPr>
        <w:t>region.</w:t>
      </w:r>
    </w:p>
    <w:p w:rsidR="00531BC1" w:rsidRPr="00136A1C" w:rsidRDefault="00531BC1" w:rsidP="00531B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rsidRPr="00136A1C">
        <w:t xml:space="preserve">The Bay of Plenty District Health Board is concerned that the impact of an ageing population will place significant stresses on workforce demands. In the recently released Health of Older People Strategy the </w:t>
      </w:r>
      <w:r w:rsidR="00136A1C" w:rsidRPr="00136A1C">
        <w:t>DHB says</w:t>
      </w:r>
      <w:r w:rsidRPr="00136A1C">
        <w:t xml:space="preserve"> that: </w:t>
      </w:r>
    </w:p>
    <w:p w:rsidR="00531BC1" w:rsidRPr="00136A1C" w:rsidRDefault="00531BC1" w:rsidP="00531B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cs="Verdana"/>
          <w:i/>
          <w:szCs w:val="20"/>
        </w:rPr>
      </w:pPr>
      <w:r w:rsidRPr="00136A1C">
        <w:rPr>
          <w:i/>
        </w:rPr>
        <w:t>Strategies for increasing and diversifying the workforce are not well developed or focused.  The workforce itself is ageing.  The average age of nurses in the BOPDHB is now 52 and the average support worker is 50.  Pay rates for unskilled labour are at minimum wage level or marginally above as rates for home based support services have not been able to keep up with increases in cost of living. The skill level required by support workers is increasing to keep up with increasing complexity of older people’s support needs. The industry is not an attractive option for younger people.  Working in aged care is generally low skilled, untrained and low-paid, and not highly valued by younger people. Unpaid caregivers are also undervalued.</w:t>
      </w:r>
    </w:p>
    <w:p w:rsidR="00531BC1" w:rsidRDefault="00531BC1" w:rsidP="00531B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cs="Verdana"/>
          <w:szCs w:val="20"/>
        </w:rPr>
      </w:pPr>
      <w:r w:rsidRPr="00136A1C">
        <w:rPr>
          <w:rFonts w:cs="Verdana"/>
          <w:szCs w:val="20"/>
        </w:rPr>
        <w:t>Women in the sub-region continue to be low-income service workers particularly in the elder care industry predisposing longer life poverty.  Given that women live longer than men the issue of life</w:t>
      </w:r>
      <w:r w:rsidR="00136A1C">
        <w:rPr>
          <w:rFonts w:cs="Verdana"/>
          <w:szCs w:val="20"/>
        </w:rPr>
        <w:t xml:space="preserve"> </w:t>
      </w:r>
      <w:r w:rsidRPr="00136A1C">
        <w:rPr>
          <w:rFonts w:cs="Verdana"/>
          <w:szCs w:val="20"/>
        </w:rPr>
        <w:t>course income and poverty in older age is a serious economic issue affecting housing, social wellbeing and family care capacity.</w:t>
      </w:r>
    </w:p>
    <w:p w:rsidR="00AA46DA" w:rsidRDefault="007872FD" w:rsidP="00B20CA9">
      <w:pPr>
        <w:spacing w:before="120" w:after="120" w:line="320" w:lineRule="exact"/>
        <w:jc w:val="both"/>
      </w:pPr>
      <w:r>
        <w:t xml:space="preserve">An overview of </w:t>
      </w:r>
      <w:r w:rsidRPr="00AF4698">
        <w:t>economic development activity in the sub-region now indicates public and private investment in particular export industries and new growth initiatives</w:t>
      </w:r>
      <w:r w:rsidR="003E444F">
        <w:t xml:space="preserve"> as</w:t>
      </w:r>
      <w:r w:rsidRPr="00AF4698">
        <w:t xml:space="preserve"> reflected in the Bay of Connections Economic Development Strategy. </w:t>
      </w:r>
      <w:r>
        <w:t xml:space="preserve">These priorities have a wider Bay of Plenty impact.  </w:t>
      </w:r>
    </w:p>
    <w:p w:rsidR="00C52177" w:rsidRDefault="00C52177" w:rsidP="00B20CA9">
      <w:pPr>
        <w:spacing w:before="120" w:after="120" w:line="320" w:lineRule="exact"/>
        <w:jc w:val="both"/>
      </w:pPr>
      <w:r>
        <w:t>The</w:t>
      </w:r>
      <w:r w:rsidR="007872FD">
        <w:t xml:space="preserve"> logistics and freight sector centred on Port of Tauranga activity is vital to New Zealand and the West</w:t>
      </w:r>
      <w:r>
        <w:t>ern Bay of Plenty sub-region.  It appears however that notwithstanding the enormous potential for growth in employment opportunities linked to logistics there is a need for careful analysis of the implications of sub-regional population ageing to determine where the workers will come from to fill these positions.  More particularly, what are the adaptations and innovations required to sustain an ageing workforce to be resourcefully productive in this growing sector?</w:t>
      </w:r>
      <w:r w:rsidR="007872FD">
        <w:t xml:space="preserve"> </w:t>
      </w:r>
    </w:p>
    <w:p w:rsidR="00AA46DA" w:rsidRDefault="007872FD" w:rsidP="00B20CA9">
      <w:pPr>
        <w:spacing w:before="120" w:after="120" w:line="320" w:lineRule="exact"/>
        <w:jc w:val="both"/>
      </w:pPr>
      <w:r>
        <w:t xml:space="preserve">This information will enable more </w:t>
      </w:r>
      <w:r w:rsidR="00C52177">
        <w:t>tailored</w:t>
      </w:r>
      <w:r w:rsidR="00AA46DA">
        <w:t xml:space="preserve"> tertiary provision</w:t>
      </w:r>
      <w:r>
        <w:t xml:space="preserve"> o</w:t>
      </w:r>
      <w:r w:rsidR="003E444F">
        <w:t>r</w:t>
      </w:r>
      <w:r>
        <w:t xml:space="preserve"> refocusing </w:t>
      </w:r>
      <w:r w:rsidR="003E444F">
        <w:t xml:space="preserve">of </w:t>
      </w:r>
      <w:r>
        <w:t xml:space="preserve">skill sets across the breadth of the sector to validate the viability of the current strategic plan for the industry. </w:t>
      </w:r>
      <w:r w:rsidRPr="00AF4698">
        <w:t xml:space="preserve"> </w:t>
      </w:r>
      <w:r>
        <w:t xml:space="preserve">Similarly the same point applies to other industry sectors identified as priorities for development and attracting public funding. </w:t>
      </w:r>
    </w:p>
    <w:p w:rsidR="00AA46DA" w:rsidRPr="007872FD" w:rsidRDefault="00AA46DA" w:rsidP="00AA46DA">
      <w:pPr>
        <w:spacing w:before="120" w:after="120" w:line="320" w:lineRule="exact"/>
        <w:jc w:val="both"/>
      </w:pPr>
      <w:r w:rsidRPr="00AD01E2">
        <w:t>Small business innovation is a characteristic of the region. Smart Economy linkages show entrepreneurial efforts across a range of sectors. It is probable that many will transition the impact of ageing due to size, scale of operation and flexible or adaptive self-management. Understanding the impact of population ageing on the future of business could well be an integral part of leadership efforts within Smart Economy. It should trigger an in-depth analysis of the age structure within key sectors such as construction, logistics, agriculture, horticulture, primary health care, home care providers and the social economy as a means to future proof these sectors.</w:t>
      </w:r>
    </w:p>
    <w:p w:rsidR="00AD01E2" w:rsidRPr="005926CB" w:rsidRDefault="00AD01E2" w:rsidP="00AD01E2">
      <w:pPr>
        <w:spacing w:before="120" w:after="120" w:line="320" w:lineRule="exact"/>
        <w:jc w:val="both"/>
      </w:pPr>
      <w:r>
        <w:t xml:space="preserve">Without an ageing impact analysis of labour needs a ‘business as usual’ approach will not ensure sustained market share. Business leaders will need to focus on understanding population ageing, the global climate, national and sub–regional demographics to assess labour patterns. In addition international evidence shows that valuing the transfer of knowledge, mentoring, </w:t>
      </w:r>
      <w:r w:rsidR="003B0C5B">
        <w:t>up skilling</w:t>
      </w:r>
      <w:r>
        <w:t xml:space="preserve"> mature workers and creating change in workplace culture will enable future labour stability.</w:t>
      </w:r>
    </w:p>
    <w:p w:rsidR="007872FD" w:rsidRDefault="007872FD" w:rsidP="007872FD">
      <w:pPr>
        <w:jc w:val="both"/>
      </w:pPr>
    </w:p>
    <w:p w:rsidR="001F53C3" w:rsidRDefault="001F53C3" w:rsidP="007872FD">
      <w:pPr>
        <w:jc w:val="both"/>
      </w:pPr>
    </w:p>
    <w:p w:rsidR="001F53C3" w:rsidRDefault="001F53C3" w:rsidP="007872FD">
      <w:pPr>
        <w:jc w:val="both"/>
      </w:pPr>
    </w:p>
    <w:p w:rsidR="0027688E" w:rsidRDefault="0027688E" w:rsidP="007872FD">
      <w:pPr>
        <w:jc w:val="both"/>
      </w:pPr>
    </w:p>
    <w:p w:rsidR="001F53C3" w:rsidRPr="00AF4698" w:rsidRDefault="001F53C3" w:rsidP="007872FD">
      <w:pPr>
        <w:jc w:val="both"/>
      </w:pPr>
    </w:p>
    <w:p w:rsidR="007872FD" w:rsidRPr="007872FD" w:rsidRDefault="007872FD" w:rsidP="007872FD">
      <w:pPr>
        <w:jc w:val="center"/>
      </w:pPr>
      <w:r w:rsidRPr="007872FD">
        <w:t xml:space="preserve"> Fig </w:t>
      </w:r>
      <w:r w:rsidR="0027688E">
        <w:t>11</w:t>
      </w:r>
      <w:r w:rsidRPr="007872FD">
        <w:t xml:space="preserve"> Mapping </w:t>
      </w:r>
      <w:r w:rsidR="005926CB">
        <w:t>p</w:t>
      </w:r>
      <w:r w:rsidRPr="007872FD">
        <w:t>opulation ageing impact on sub-regional productivity (Gordon 2012)</w:t>
      </w:r>
    </w:p>
    <w:p w:rsidR="007872FD" w:rsidRPr="007872FD" w:rsidRDefault="007872FD" w:rsidP="007872FD">
      <w:pPr>
        <w:jc w:val="center"/>
      </w:pPr>
    </w:p>
    <w:p w:rsidR="007872FD" w:rsidRPr="00A61AFA" w:rsidRDefault="00234C43" w:rsidP="007872FD">
      <w:pPr>
        <w:jc w:val="center"/>
        <w:rPr>
          <w:sz w:val="20"/>
        </w:rPr>
      </w:pPr>
      <w:r w:rsidRPr="00A61AFA">
        <w:rPr>
          <w:noProof/>
          <w:lang w:val="en-US"/>
        </w:rPr>
        <w:drawing>
          <wp:inline distT="0" distB="0" distL="0" distR="0" wp14:anchorId="15DDB8EF" wp14:editId="760C783F">
            <wp:extent cx="5788550" cy="2870421"/>
            <wp:effectExtent l="0" t="0" r="0" b="82550"/>
            <wp:docPr id="84" name="D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rsidR="008B7623" w:rsidRPr="005926CB" w:rsidRDefault="007872FD" w:rsidP="005926CB">
      <w:pPr>
        <w:jc w:val="both"/>
        <w:rPr>
          <w:sz w:val="16"/>
        </w:rPr>
      </w:pPr>
      <w:r>
        <w:rPr>
          <w:noProof/>
        </w:rPr>
        <w:t xml:space="preserve">          </w:t>
      </w:r>
      <w:r>
        <w:t xml:space="preserve"> </w:t>
      </w:r>
      <w:r>
        <w:rPr>
          <w:sz w:val="16"/>
        </w:rPr>
        <w:t xml:space="preserve">   </w:t>
      </w:r>
    </w:p>
    <w:p w:rsidR="007872FD" w:rsidRPr="00AF4698" w:rsidRDefault="007872FD" w:rsidP="005926CB">
      <w:pPr>
        <w:spacing w:before="120" w:after="120" w:line="320" w:lineRule="exact"/>
        <w:jc w:val="both"/>
      </w:pPr>
      <w:r w:rsidRPr="00AF4698">
        <w:t>T</w:t>
      </w:r>
      <w:r>
        <w:t>he above</w:t>
      </w:r>
      <w:r w:rsidRPr="00AF4698">
        <w:t xml:space="preserve"> model </w:t>
      </w:r>
      <w:r w:rsidR="0027688E" w:rsidRPr="0027688E">
        <w:t>Figure 11</w:t>
      </w:r>
      <w:r w:rsidR="0027688E">
        <w:t xml:space="preserve"> </w:t>
      </w:r>
      <w:r w:rsidRPr="0027688E">
        <w:t>has</w:t>
      </w:r>
      <w:r>
        <w:t xml:space="preserve"> been developed to enable a</w:t>
      </w:r>
      <w:r w:rsidRPr="00AF4698">
        <w:t xml:space="preserve"> query to be applied. It is not the purpose of this report to undertake this analysis, but </w:t>
      </w:r>
      <w:r>
        <w:t xml:space="preserve">the purpose is </w:t>
      </w:r>
      <w:r w:rsidRPr="00AF4698">
        <w:t>to reflect t</w:t>
      </w:r>
      <w:r>
        <w:t>he importance of research</w:t>
      </w:r>
      <w:r w:rsidRPr="00AF4698">
        <w:t xml:space="preserve"> to determine a clearer picture of </w:t>
      </w:r>
      <w:r>
        <w:t xml:space="preserve">how </w:t>
      </w:r>
      <w:r w:rsidRPr="00AF4698">
        <w:t>low global growth, n</w:t>
      </w:r>
      <w:r>
        <w:t xml:space="preserve">ational and sub-regional labour </w:t>
      </w:r>
      <w:r w:rsidRPr="00AF4698">
        <w:t xml:space="preserve">shortage and the dynamic nature of </w:t>
      </w:r>
      <w:r>
        <w:t xml:space="preserve">population ageing </w:t>
      </w:r>
      <w:r w:rsidR="005926CB">
        <w:t>variables</w:t>
      </w:r>
      <w:r>
        <w:t xml:space="preserve"> will affect economic development. P</w:t>
      </w:r>
      <w:r w:rsidRPr="00AF4698">
        <w:t xml:space="preserve">articular focus should be given to the potential for </w:t>
      </w:r>
      <w:r w:rsidR="00377C67">
        <w:t>Māori</w:t>
      </w:r>
      <w:r w:rsidRPr="00AF4698">
        <w:t xml:space="preserve"> and female labour and ski</w:t>
      </w:r>
      <w:r w:rsidR="005926CB">
        <w:t>ll</w:t>
      </w:r>
      <w:r>
        <w:t xml:space="preserve"> building to support specific economic development projects.</w:t>
      </w:r>
    </w:p>
    <w:p w:rsidR="00714BE1" w:rsidRDefault="007872FD" w:rsidP="005926CB">
      <w:pPr>
        <w:spacing w:before="120" w:after="120" w:line="320" w:lineRule="exact"/>
        <w:jc w:val="both"/>
      </w:pPr>
      <w:r>
        <w:t>It is crucial and timely to focus on</w:t>
      </w:r>
      <w:r w:rsidRPr="00AF4698">
        <w:t xml:space="preserve"> th</w:t>
      </w:r>
      <w:r>
        <w:t>e future sustainability of key productive</w:t>
      </w:r>
      <w:r w:rsidRPr="00AF4698">
        <w:t xml:space="preserve"> industries </w:t>
      </w:r>
      <w:r>
        <w:t xml:space="preserve">in the SmartGrowth region </w:t>
      </w:r>
      <w:r w:rsidRPr="00AF4698">
        <w:t xml:space="preserve">given the </w:t>
      </w:r>
      <w:r>
        <w:t>certain impact of population ageing on labour capacity and capability on economic development</w:t>
      </w:r>
      <w:r w:rsidRPr="00AF4698">
        <w:t xml:space="preserve"> initiatives. </w:t>
      </w:r>
    </w:p>
    <w:p w:rsidR="00BE36AE" w:rsidRDefault="00BE36AE" w:rsidP="005926CB">
      <w:pPr>
        <w:spacing w:line="320" w:lineRule="exact"/>
        <w:jc w:val="both"/>
      </w:pPr>
    </w:p>
    <w:p w:rsidR="0027688E" w:rsidRPr="0027688E" w:rsidRDefault="00892908" w:rsidP="0027688E">
      <w:pPr>
        <w:pStyle w:val="Heading2"/>
        <w:spacing w:before="120" w:after="120" w:line="320" w:lineRule="exact"/>
        <w:rPr>
          <w:u w:val="none"/>
        </w:rPr>
      </w:pPr>
      <w:bookmarkStart w:id="32" w:name="_Toc340245236"/>
      <w:r w:rsidRPr="005926CB">
        <w:rPr>
          <w:u w:val="none"/>
        </w:rPr>
        <w:t>From challenge to opportunity: Rising longevity and its implications for business in the Western Bay</w:t>
      </w:r>
      <w:bookmarkEnd w:id="32"/>
    </w:p>
    <w:p w:rsidR="0027688E" w:rsidRDefault="00BE36AE" w:rsidP="0027688E">
      <w:pPr>
        <w:pStyle w:val="BodyText"/>
        <w:spacing w:line="320" w:lineRule="exact"/>
        <w:ind w:left="0"/>
        <w:jc w:val="both"/>
      </w:pPr>
      <w:r w:rsidRPr="007872FD">
        <w:t xml:space="preserve">Global economic agencies and business groups are positioning a certain market opportunity that targets boomer longevity, their leisure, health and wealth choices. There is a </w:t>
      </w:r>
      <w:r w:rsidR="003B0C5B" w:rsidRPr="007872FD">
        <w:t>discernible</w:t>
      </w:r>
      <w:r w:rsidRPr="007872FD">
        <w:t xml:space="preserve"> global excitement as business is orientating to the age-friendly needs of the biggest consumer group ever in human history. </w:t>
      </w:r>
    </w:p>
    <w:p w:rsidR="00B5046C" w:rsidRDefault="00531BC1" w:rsidP="00CB6C87">
      <w:pPr>
        <w:pStyle w:val="BodyText"/>
        <w:spacing w:line="320" w:lineRule="exact"/>
        <w:ind w:left="0"/>
        <w:jc w:val="both"/>
        <w:rPr>
          <w:rFonts w:cs="Verdana"/>
          <w:i/>
          <w:szCs w:val="24"/>
          <w:lang w:val="en-US" w:eastAsia="en-NZ"/>
        </w:rPr>
      </w:pPr>
      <w:r w:rsidRPr="00CB6C87">
        <w:rPr>
          <w:rFonts w:cs="Verdana"/>
          <w:i/>
          <w:szCs w:val="24"/>
          <w:lang w:val="en-US" w:eastAsia="en-NZ"/>
        </w:rPr>
        <w:t>Businesses need to rethink how they define the older marketplace, develop products and services, and deliver customer value.</w:t>
      </w:r>
      <w:r w:rsidRPr="00CB6C87">
        <w:rPr>
          <w:rStyle w:val="FootnoteReference"/>
          <w:rFonts w:cs="Verdana"/>
          <w:i/>
          <w:szCs w:val="24"/>
          <w:lang w:val="en-US" w:eastAsia="en-NZ"/>
        </w:rPr>
        <w:footnoteReference w:id="54"/>
      </w:r>
    </w:p>
    <w:p w:rsidR="009D0AD4" w:rsidRPr="009D0AD4" w:rsidRDefault="009D0AD4" w:rsidP="00CB6C87">
      <w:pPr>
        <w:pStyle w:val="BodyText"/>
        <w:spacing w:line="320" w:lineRule="exact"/>
        <w:ind w:left="0"/>
        <w:jc w:val="both"/>
        <w:rPr>
          <w:rFonts w:cs="Verdana"/>
          <w:i/>
          <w:szCs w:val="24"/>
          <w:lang w:val="en-US" w:eastAsia="en-NZ"/>
        </w:rPr>
      </w:pPr>
    </w:p>
    <w:p w:rsidR="0027688E" w:rsidRPr="0027688E" w:rsidRDefault="0027688E" w:rsidP="00CB6C87">
      <w:pPr>
        <w:pStyle w:val="Heading3"/>
        <w:spacing w:before="120" w:after="120" w:line="320" w:lineRule="exact"/>
        <w:rPr>
          <w:b/>
        </w:rPr>
      </w:pPr>
      <w:r w:rsidRPr="0027688E">
        <w:rPr>
          <w:b/>
        </w:rPr>
        <w:t>The business of ageing</w:t>
      </w:r>
    </w:p>
    <w:p w:rsidR="00BE36AE" w:rsidRPr="007872FD" w:rsidRDefault="00BE36AE" w:rsidP="00BE36AE">
      <w:pPr>
        <w:pStyle w:val="BodyText"/>
        <w:spacing w:line="320" w:lineRule="exact"/>
        <w:ind w:left="0"/>
        <w:jc w:val="both"/>
      </w:pPr>
      <w:r w:rsidRPr="007872FD">
        <w:t xml:space="preserve">It is clear that there are risks and opportunities to be faced by businesses in the </w:t>
      </w:r>
      <w:r w:rsidR="005926CB">
        <w:t>sub-</w:t>
      </w:r>
      <w:r w:rsidRPr="007872FD">
        <w:t>region as they acknowledge the changing demographics, the need for adapting the workplace and adopt</w:t>
      </w:r>
      <w:r w:rsidR="006860C4">
        <w:t>ing</w:t>
      </w:r>
      <w:r w:rsidRPr="007872FD">
        <w:t xml:space="preserve"> a drive for innovation to meet a changing consumer demand. An American 2011 study found that 71% of business executives view longevity as an opportunity.</w:t>
      </w:r>
      <w:r w:rsidRPr="007872FD">
        <w:rPr>
          <w:rStyle w:val="FootnoteReference"/>
        </w:rPr>
        <w:footnoteReference w:id="55"/>
      </w:r>
    </w:p>
    <w:p w:rsidR="00BE36AE" w:rsidRPr="007872FD" w:rsidRDefault="00BE36AE" w:rsidP="00BE36AE">
      <w:pPr>
        <w:spacing w:before="120" w:after="120" w:line="320" w:lineRule="exact"/>
        <w:jc w:val="both"/>
        <w:rPr>
          <w:i/>
        </w:rPr>
      </w:pPr>
      <w:r w:rsidRPr="007872FD">
        <w:rPr>
          <w:i/>
        </w:rPr>
        <w:t>Opportunities will be created across virtually all industries and regions.</w:t>
      </w:r>
      <w:r w:rsidRPr="007872FD">
        <w:rPr>
          <w:rStyle w:val="FootnoteReference"/>
          <w:i/>
        </w:rPr>
        <w:footnoteReference w:id="56"/>
      </w:r>
    </w:p>
    <w:p w:rsidR="006860C4" w:rsidRPr="007872FD" w:rsidRDefault="006860C4" w:rsidP="006860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cs="Helvetica Neue"/>
        </w:rPr>
      </w:pPr>
      <w:r w:rsidRPr="007872FD">
        <w:t>Ne</w:t>
      </w:r>
      <w:r w:rsidR="00531BC1">
        <w:t>i</w:t>
      </w:r>
      <w:r w:rsidRPr="007872FD">
        <w:t xml:space="preserve">lsons’ claim </w:t>
      </w:r>
      <w:r w:rsidRPr="007872FD">
        <w:rPr>
          <w:rFonts w:cs="Helvetica Neue"/>
        </w:rPr>
        <w:t>that Boomers were born into a culture of affluence and optimism and that these values will stay with them throughout their lives. They also suggest that while it is believed that older generations of consumers have spent less of what they have, from a marketing perspective it simply does not apply to this generation.</w:t>
      </w:r>
    </w:p>
    <w:p w:rsidR="006860C4" w:rsidRDefault="006860C4" w:rsidP="006860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cs="Helvetica Neue"/>
        </w:rPr>
      </w:pPr>
      <w:r w:rsidRPr="007872FD">
        <w:rPr>
          <w:rFonts w:cs="Helvetica Neue"/>
        </w:rPr>
        <w:t xml:space="preserve">A new reality is the view of the Boston Group, who </w:t>
      </w:r>
      <w:r w:rsidR="003B0C5B" w:rsidRPr="007872FD">
        <w:rPr>
          <w:rFonts w:cs="Helvetica Neue"/>
        </w:rPr>
        <w:t>proposes</w:t>
      </w:r>
      <w:r w:rsidRPr="007872FD">
        <w:rPr>
          <w:rFonts w:cs="Helvetica Neue"/>
        </w:rPr>
        <w:t xml:space="preserve"> that </w:t>
      </w:r>
      <w:r w:rsidRPr="007872FD">
        <w:rPr>
          <w:rFonts w:cs="Helvetica Neue"/>
          <w:i/>
        </w:rPr>
        <w:t xml:space="preserve">companies either do not perceive the magnitude of global ageing, or are too consumed by shorter term imperatives to act. </w:t>
      </w:r>
      <w:r w:rsidRPr="007872FD">
        <w:rPr>
          <w:rFonts w:cs="Helvetica Neue"/>
        </w:rPr>
        <w:t>One of the Group’s key messages is that as people age and become older they will require innovative new products. The Groups study contains examples of the breadth of consumer choice and change underway. For example, in Berlin, a supermarket chain has redesigned stores to become age-friendly to better suit older customers by including brighter lighting, shelves fitted with steps, trolleys with magnifying glasses attached, aisles that are extra wide, larger signs and labels, emergency call buttons and nonslip floors. The company reports 30% higher revenue and improved customer satisfaction. In Japan similar efforts include tables and chairs in stores where people can sit and chat with others and take a break from shopping.</w:t>
      </w:r>
    </w:p>
    <w:p w:rsidR="006860C4" w:rsidRPr="007872FD" w:rsidRDefault="006860C4" w:rsidP="006860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cs="Helvetica Neue"/>
        </w:rPr>
      </w:pPr>
      <w:r w:rsidRPr="007872FD">
        <w:rPr>
          <w:rFonts w:cs="Helvetica Neue"/>
        </w:rPr>
        <w:t>An innovative response to product and service adaption to meet the needs of mature consumers is the emergence of age-friendly accreditation systems for product, services and business. This is a growing trend in the UK, America and Asia. A New Zealand organi</w:t>
      </w:r>
      <w:r>
        <w:rPr>
          <w:rFonts w:cs="Helvetica Neue"/>
        </w:rPr>
        <w:t>s</w:t>
      </w:r>
      <w:r w:rsidRPr="007872FD">
        <w:rPr>
          <w:rFonts w:cs="Helvetica Neue"/>
        </w:rPr>
        <w:t>ation is launching this service with a major power company and bank seeking an age-friendly audit and accreditation as initial awards.</w:t>
      </w:r>
      <w:r w:rsidRPr="007872FD">
        <w:rPr>
          <w:rStyle w:val="FootnoteReference"/>
          <w:rFonts w:cs="Helvetica Neue"/>
        </w:rPr>
        <w:footnoteReference w:id="57"/>
      </w:r>
      <w:r w:rsidRPr="007872FD">
        <w:rPr>
          <w:rFonts w:cs="Helvetica Neue"/>
        </w:rPr>
        <w:t xml:space="preserve"> Similarly Lifemark NZ accredits homes built to assessed universal design principles. </w:t>
      </w:r>
    </w:p>
    <w:p w:rsidR="006860C4" w:rsidRDefault="006860C4" w:rsidP="006860C4">
      <w:pPr>
        <w:spacing w:before="120" w:after="120" w:line="320" w:lineRule="exact"/>
        <w:jc w:val="both"/>
      </w:pPr>
      <w:r>
        <w:t>International economic agencies including the Boston Group, Stanford University, MIT Neilsons and the Economist Intelligence Unit concur that the boomer business is business with a prosperous future.</w:t>
      </w:r>
      <w:r>
        <w:rPr>
          <w:rStyle w:val="FootnoteReference"/>
        </w:rPr>
        <w:footnoteReference w:id="58"/>
      </w:r>
      <w:r>
        <w:t xml:space="preserve">  They suggest that embracing boom times is a business imperative.  The Boston Group suggests a powerful business opportunity with a global estimate of $8.4 trillion.</w:t>
      </w:r>
    </w:p>
    <w:p w:rsidR="006860C4" w:rsidRDefault="006860C4" w:rsidP="006860C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rFonts w:cs="Helvetica Neue"/>
        </w:rPr>
      </w:pPr>
      <w:r w:rsidRPr="007872FD">
        <w:rPr>
          <w:rFonts w:cs="Helvetica Neue"/>
        </w:rPr>
        <w:t>Key industries that the Boston Group identified as those with potential to leverage the mature market and become age-friendly include: assistance for physical decline; emergency solutions; companionship; housing efficiency/conveniences; safety and security; intellectual stimulation; financial services, tourism and leisure.</w:t>
      </w:r>
    </w:p>
    <w:p w:rsidR="00AD01E2" w:rsidRPr="00BC3EC1" w:rsidRDefault="00AD01E2" w:rsidP="00AD01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pPr>
      <w:r w:rsidRPr="00BC3EC1">
        <w:t xml:space="preserve">In the future, older consumers in New Zealand are expected to have a $45 </w:t>
      </w:r>
      <w:r>
        <w:t>m</w:t>
      </w:r>
      <w:r w:rsidRPr="00BC3EC1">
        <w:t>illion spending capacity by 2051.</w:t>
      </w:r>
      <w:r w:rsidRPr="00BC3EC1">
        <w:rPr>
          <w:rStyle w:val="FootnoteReference"/>
        </w:rPr>
        <w:footnoteReference w:id="59"/>
      </w:r>
      <w:r w:rsidRPr="00BC3EC1">
        <w:t xml:space="preserve"> Private enterprise has potential to harness the lead experience of innovation in high ageing global nations to further target market opportunities as the boomer generation seeks to enrich their </w:t>
      </w:r>
      <w:r>
        <w:t>lives.</w:t>
      </w:r>
      <w:r w:rsidRPr="00BC3EC1">
        <w:t xml:space="preserve"> </w:t>
      </w:r>
    </w:p>
    <w:p w:rsidR="0027688E" w:rsidRPr="00136A1C" w:rsidRDefault="00AD01E2" w:rsidP="00136A1C">
      <w:pPr>
        <w:spacing w:before="120" w:after="120" w:line="320" w:lineRule="exact"/>
        <w:jc w:val="both"/>
      </w:pPr>
      <w:r w:rsidRPr="007872FD">
        <w:t xml:space="preserve">The Western Bay of Plenty sub-region, with high ageing communities, is ideally placed to position leadership and innovation in urban design, housing, education, training, financial services, home renovation and maintenance, product and health care innovation, pharmaceuticals, technology, leisure, tourism and social services </w:t>
      </w:r>
      <w:r w:rsidR="00136A1C">
        <w:t>in a significant ‘silver market.</w:t>
      </w:r>
    </w:p>
    <w:p w:rsidR="0027688E" w:rsidRDefault="0027688E" w:rsidP="00234C4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Neue"/>
          <w:sz w:val="20"/>
        </w:rPr>
      </w:pPr>
    </w:p>
    <w:p w:rsidR="00BE36AE" w:rsidRPr="00881B7F" w:rsidRDefault="00BE36AE" w:rsidP="00BE3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Helvetica Neue"/>
          <w:sz w:val="20"/>
        </w:rPr>
      </w:pPr>
      <w:r w:rsidRPr="00881B7F">
        <w:rPr>
          <w:rFonts w:cs="Helvetica Neue"/>
          <w:sz w:val="20"/>
        </w:rPr>
        <w:t xml:space="preserve">Fig </w:t>
      </w:r>
      <w:r w:rsidR="0027688E">
        <w:rPr>
          <w:rFonts w:cs="Helvetica Neue"/>
          <w:sz w:val="20"/>
        </w:rPr>
        <w:t>12</w:t>
      </w:r>
      <w:r w:rsidRPr="00881B7F">
        <w:rPr>
          <w:rFonts w:cs="Helvetica Neue"/>
          <w:sz w:val="20"/>
        </w:rPr>
        <w:t xml:space="preserve"> Boston Group Analysis of Business Prospects.</w:t>
      </w:r>
    </w:p>
    <w:p w:rsidR="00BE36AE" w:rsidRDefault="00BE36AE" w:rsidP="00BE3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Helvetica Neue"/>
        </w:rPr>
      </w:pPr>
    </w:p>
    <w:p w:rsidR="00BE36AE" w:rsidRDefault="00BE36AE" w:rsidP="00BE3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Helvetica Neue"/>
        </w:rPr>
      </w:pPr>
      <w:r w:rsidRPr="005163F1">
        <w:rPr>
          <w:rFonts w:cs="Helvetica Neue"/>
          <w:noProof/>
          <w:lang w:val="en-US"/>
        </w:rPr>
        <w:drawing>
          <wp:inline distT="0" distB="0" distL="0" distR="0" wp14:anchorId="576DF768" wp14:editId="30B927A0">
            <wp:extent cx="5270500" cy="3274494"/>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srcRect/>
                    <a:stretch>
                      <a:fillRect/>
                    </a:stretch>
                  </pic:blipFill>
                  <pic:spPr bwMode="auto">
                    <a:xfrm>
                      <a:off x="0" y="0"/>
                      <a:ext cx="5270500" cy="3274494"/>
                    </a:xfrm>
                    <a:prstGeom prst="rect">
                      <a:avLst/>
                    </a:prstGeom>
                    <a:noFill/>
                    <a:ln w="9525">
                      <a:noFill/>
                      <a:miter lim="800000"/>
                      <a:headEnd/>
                      <a:tailEnd/>
                    </a:ln>
                  </pic:spPr>
                </pic:pic>
              </a:graphicData>
            </a:graphic>
          </wp:inline>
        </w:drawing>
      </w:r>
    </w:p>
    <w:p w:rsidR="00BE36AE" w:rsidRDefault="00BE36AE" w:rsidP="00BE3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Helvetica Neue"/>
        </w:rPr>
      </w:pPr>
    </w:p>
    <w:p w:rsidR="00BE36AE" w:rsidRDefault="00BE36AE" w:rsidP="00BE36AE">
      <w:pPr>
        <w:spacing w:before="120" w:after="120" w:line="320" w:lineRule="exact"/>
        <w:jc w:val="both"/>
      </w:pPr>
      <w:r w:rsidRPr="00297800">
        <w:t xml:space="preserve">The New Zealand </w:t>
      </w:r>
      <w:r w:rsidRPr="00297800">
        <w:rPr>
          <w:i/>
        </w:rPr>
        <w:t>Business of Ageing Report: Realising the Economic Potential of an Ageing Population 2011-2051</w:t>
      </w:r>
      <w:r w:rsidRPr="00297800">
        <w:t>, produced by the Ministry of Social Development in 2011, highlights the contribution an ageing population will make to New Zealand’s economic competiveness over the next 40 years.  The report presents new data on the value of skills, knowledge and spending power.  It builds on the fact that the baby-boomer generation will age and behave differently from their parents’ generation.  The report identifies two key factors critical to economic progress:</w:t>
      </w:r>
    </w:p>
    <w:p w:rsidR="00BE36AE" w:rsidRPr="00297800" w:rsidRDefault="00BE36AE" w:rsidP="006C231E">
      <w:pPr>
        <w:pStyle w:val="ListParagraph"/>
        <w:numPr>
          <w:ilvl w:val="0"/>
          <w:numId w:val="12"/>
        </w:numPr>
        <w:spacing w:line="320" w:lineRule="exact"/>
        <w:ind w:left="284" w:hanging="284"/>
        <w:jc w:val="both"/>
        <w:rPr>
          <w:rFonts w:ascii="Arial" w:hAnsi="Arial" w:cs="Arial"/>
        </w:rPr>
      </w:pPr>
      <w:r w:rsidRPr="00297800">
        <w:rPr>
          <w:rFonts w:ascii="Arial" w:hAnsi="Arial" w:cs="Arial"/>
        </w:rPr>
        <w:t>A change in attitudes to ageing</w:t>
      </w:r>
    </w:p>
    <w:p w:rsidR="00BE36AE" w:rsidRPr="00297800" w:rsidRDefault="00BE36AE" w:rsidP="006C231E">
      <w:pPr>
        <w:pStyle w:val="ListParagraph"/>
        <w:numPr>
          <w:ilvl w:val="0"/>
          <w:numId w:val="12"/>
        </w:numPr>
        <w:spacing w:before="120" w:after="120" w:line="320" w:lineRule="exact"/>
        <w:ind w:left="284" w:hanging="284"/>
        <w:jc w:val="both"/>
        <w:rPr>
          <w:rFonts w:ascii="Arial" w:hAnsi="Arial" w:cs="Arial"/>
        </w:rPr>
      </w:pPr>
      <w:r w:rsidRPr="00297800">
        <w:rPr>
          <w:rFonts w:ascii="Arial" w:hAnsi="Arial" w:cs="Arial"/>
        </w:rPr>
        <w:t>Employer efforts to encourage employment of mature workers</w:t>
      </w:r>
    </w:p>
    <w:p w:rsidR="00BE36AE" w:rsidRPr="00297800" w:rsidRDefault="00BE36AE" w:rsidP="00BE36AE">
      <w:pPr>
        <w:widowControl w:val="0"/>
        <w:autoSpaceDE w:val="0"/>
        <w:autoSpaceDN w:val="0"/>
        <w:adjustRightInd w:val="0"/>
        <w:spacing w:before="120" w:after="120" w:line="320" w:lineRule="exact"/>
        <w:jc w:val="both"/>
      </w:pPr>
      <w:r w:rsidRPr="00297800">
        <w:t>Two major actions are identified in the report as a basis for New Zealand’s future economic growth. They have immediate relevance for both the projects that are priorities in the Bay of Connections Strategy and those private enterprise developments that make up the Smart Economy Plan.</w:t>
      </w:r>
    </w:p>
    <w:p w:rsidR="00BE36AE" w:rsidRPr="00297800" w:rsidRDefault="00BE36AE" w:rsidP="006C231E">
      <w:pPr>
        <w:pStyle w:val="ListParagraph"/>
        <w:widowControl w:val="0"/>
        <w:numPr>
          <w:ilvl w:val="0"/>
          <w:numId w:val="13"/>
        </w:numPr>
        <w:autoSpaceDE w:val="0"/>
        <w:autoSpaceDN w:val="0"/>
        <w:adjustRightInd w:val="0"/>
        <w:spacing w:before="120" w:after="120" w:line="320" w:lineRule="exact"/>
        <w:ind w:left="284" w:hanging="284"/>
        <w:jc w:val="both"/>
        <w:rPr>
          <w:rFonts w:ascii="Arial" w:hAnsi="Arial"/>
        </w:rPr>
      </w:pPr>
      <w:r w:rsidRPr="00297800">
        <w:rPr>
          <w:rFonts w:ascii="Arial" w:hAnsi="Arial"/>
        </w:rPr>
        <w:t>To increase the number of 65+ people who choose to remain active in the workforce.</w:t>
      </w:r>
    </w:p>
    <w:p w:rsidR="00BE36AE" w:rsidRPr="00297800" w:rsidRDefault="00BE36AE" w:rsidP="006C231E">
      <w:pPr>
        <w:pStyle w:val="ListParagraph"/>
        <w:widowControl w:val="0"/>
        <w:numPr>
          <w:ilvl w:val="0"/>
          <w:numId w:val="13"/>
        </w:numPr>
        <w:autoSpaceDE w:val="0"/>
        <w:autoSpaceDN w:val="0"/>
        <w:adjustRightInd w:val="0"/>
        <w:spacing w:after="120" w:line="320" w:lineRule="exact"/>
        <w:ind w:left="284" w:hanging="284"/>
        <w:jc w:val="both"/>
        <w:rPr>
          <w:rFonts w:ascii="Arial" w:hAnsi="Arial"/>
        </w:rPr>
      </w:pPr>
      <w:r w:rsidRPr="00297800">
        <w:rPr>
          <w:rFonts w:ascii="Arial" w:hAnsi="Arial"/>
        </w:rPr>
        <w:t>To tap into the growing mature consumer market</w:t>
      </w:r>
    </w:p>
    <w:p w:rsidR="00234C43" w:rsidRDefault="00BE36AE" w:rsidP="00B5046C">
      <w:pPr>
        <w:pStyle w:val="BodyText"/>
        <w:spacing w:line="320" w:lineRule="exact"/>
        <w:ind w:left="0"/>
        <w:jc w:val="both"/>
      </w:pPr>
      <w:r w:rsidRPr="00297800">
        <w:t xml:space="preserve">A key to understanding market opportunity is the changing age structure and the particular needs and choices people will make within a longer more active lifespan. Figure </w:t>
      </w:r>
      <w:r w:rsidR="00531BC1">
        <w:t>13</w:t>
      </w:r>
      <w:r w:rsidRPr="00297800">
        <w:t xml:space="preserve"> shows the cohorts ageing overtime, ageing with differing capacities and needs, providing diverse market opportuniti</w:t>
      </w:r>
      <w:r w:rsidR="003C5DF4">
        <w:t>es according to future demands</w:t>
      </w:r>
      <w:r w:rsidR="00B5046C">
        <w:t>.</w:t>
      </w:r>
    </w:p>
    <w:p w:rsidR="00B43E91" w:rsidRDefault="00B43E91" w:rsidP="00B5046C">
      <w:pPr>
        <w:pStyle w:val="BodyText"/>
        <w:spacing w:line="320" w:lineRule="exact"/>
        <w:ind w:left="0"/>
        <w:jc w:val="both"/>
      </w:pPr>
    </w:p>
    <w:p w:rsidR="00B43E91" w:rsidRDefault="00B43E91" w:rsidP="00B5046C">
      <w:pPr>
        <w:pStyle w:val="BodyText"/>
        <w:spacing w:line="320" w:lineRule="exact"/>
        <w:ind w:left="0"/>
        <w:jc w:val="both"/>
      </w:pPr>
    </w:p>
    <w:p w:rsidR="00B43E91" w:rsidRDefault="00B43E91" w:rsidP="00B5046C">
      <w:pPr>
        <w:pStyle w:val="BodyText"/>
        <w:spacing w:line="320" w:lineRule="exact"/>
        <w:ind w:left="0"/>
        <w:jc w:val="both"/>
      </w:pPr>
    </w:p>
    <w:p w:rsidR="00B43E91" w:rsidRDefault="00B43E91" w:rsidP="00B5046C">
      <w:pPr>
        <w:pStyle w:val="BodyText"/>
        <w:spacing w:line="320" w:lineRule="exact"/>
        <w:ind w:left="0"/>
        <w:jc w:val="both"/>
      </w:pPr>
    </w:p>
    <w:p w:rsidR="00B43E91" w:rsidRPr="00997343" w:rsidRDefault="00B43E91" w:rsidP="00B5046C">
      <w:pPr>
        <w:pStyle w:val="BodyText"/>
        <w:spacing w:line="320" w:lineRule="exact"/>
        <w:ind w:left="0"/>
        <w:jc w:val="both"/>
      </w:pPr>
    </w:p>
    <w:p w:rsidR="00BE36AE" w:rsidRPr="00297800" w:rsidRDefault="00BE36AE" w:rsidP="00BE36AE">
      <w:pPr>
        <w:widowControl w:val="0"/>
        <w:autoSpaceDE w:val="0"/>
        <w:autoSpaceDN w:val="0"/>
        <w:adjustRightInd w:val="0"/>
        <w:spacing w:after="280"/>
      </w:pPr>
      <w:r>
        <w:rPr>
          <w:sz w:val="20"/>
        </w:rPr>
        <w:t xml:space="preserve">                </w:t>
      </w:r>
      <w:r w:rsidRPr="00297800">
        <w:t xml:space="preserve">  Figure </w:t>
      </w:r>
      <w:r w:rsidR="0027688E">
        <w:t>13</w:t>
      </w:r>
      <w:r w:rsidRPr="00297800">
        <w:t>: Projected older populatio</w:t>
      </w:r>
      <w:r w:rsidR="003C5DF4">
        <w:t>n by age band 2006-2050 (MSD 20</w:t>
      </w:r>
      <w:r w:rsidRPr="00297800">
        <w:t>11)</w:t>
      </w:r>
    </w:p>
    <w:p w:rsidR="00BE36AE" w:rsidRDefault="00BE36AE" w:rsidP="00BE36AE">
      <w:pPr>
        <w:widowControl w:val="0"/>
        <w:autoSpaceDE w:val="0"/>
        <w:autoSpaceDN w:val="0"/>
        <w:adjustRightInd w:val="0"/>
        <w:spacing w:after="280"/>
      </w:pPr>
      <w:r>
        <w:t xml:space="preserve">            </w:t>
      </w:r>
      <w:r>
        <w:rPr>
          <w:noProof/>
          <w:lang w:val="en-US"/>
        </w:rPr>
        <mc:AlternateContent>
          <mc:Choice Requires="wpg">
            <w:drawing>
              <wp:inline distT="0" distB="0" distL="0" distR="0" wp14:anchorId="4A31EC9B" wp14:editId="784EDB16">
                <wp:extent cx="4379595" cy="2112645"/>
                <wp:effectExtent l="2540" t="0" r="0" b="0"/>
                <wp:docPr id="5" name="Group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379595" cy="2112645"/>
                          <a:chOff x="0" y="0"/>
                          <a:chExt cx="6650" cy="4173"/>
                        </a:xfrm>
                      </wpg:grpSpPr>
                      <wps:wsp>
                        <wps:cNvPr id="6" name="AutoShape 3"/>
                        <wps:cNvSpPr>
                          <a:spLocks noChangeAspect="1" noChangeArrowheads="1" noTextEdit="1"/>
                        </wps:cNvSpPr>
                        <wps:spPr bwMode="auto">
                          <a:xfrm>
                            <a:off x="0" y="0"/>
                            <a:ext cx="6650" cy="4173"/>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Line 4"/>
                        <wps:cNvCnPr/>
                        <wps:spPr bwMode="auto">
                          <a:xfrm>
                            <a:off x="845" y="2790"/>
                            <a:ext cx="5147" cy="0"/>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 name="Line 5"/>
                        <wps:cNvCnPr/>
                        <wps:spPr bwMode="auto">
                          <a:xfrm>
                            <a:off x="845" y="2278"/>
                            <a:ext cx="5147" cy="0"/>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4" name="Line 6"/>
                        <wps:cNvCnPr/>
                        <wps:spPr bwMode="auto">
                          <a:xfrm>
                            <a:off x="845" y="1760"/>
                            <a:ext cx="5147" cy="0"/>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1" name="Line 7"/>
                        <wps:cNvCnPr/>
                        <wps:spPr bwMode="auto">
                          <a:xfrm>
                            <a:off x="845" y="1243"/>
                            <a:ext cx="5147" cy="0"/>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2" name="Line 8"/>
                        <wps:cNvCnPr/>
                        <wps:spPr bwMode="auto">
                          <a:xfrm>
                            <a:off x="845" y="731"/>
                            <a:ext cx="5147" cy="0"/>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 name="Line 9"/>
                        <wps:cNvCnPr/>
                        <wps:spPr bwMode="auto">
                          <a:xfrm>
                            <a:off x="845" y="214"/>
                            <a:ext cx="5147" cy="0"/>
                          </a:xfrm>
                          <a:prstGeom prst="line">
                            <a:avLst/>
                          </a:prstGeom>
                          <a:noFill/>
                          <a:ln w="0">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 name="Line 10"/>
                        <wps:cNvCnPr/>
                        <wps:spPr bwMode="auto">
                          <a:xfrm>
                            <a:off x="845" y="214"/>
                            <a:ext cx="0" cy="3093"/>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 name="Line 11"/>
                        <wps:cNvCnPr/>
                        <wps:spPr bwMode="auto">
                          <a:xfrm>
                            <a:off x="800" y="3307"/>
                            <a:ext cx="4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 name="Line 12"/>
                        <wps:cNvCnPr/>
                        <wps:spPr bwMode="auto">
                          <a:xfrm>
                            <a:off x="800" y="2790"/>
                            <a:ext cx="4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 name="Line 13"/>
                        <wps:cNvCnPr/>
                        <wps:spPr bwMode="auto">
                          <a:xfrm>
                            <a:off x="800" y="2278"/>
                            <a:ext cx="4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 name="Line 14"/>
                        <wps:cNvCnPr/>
                        <wps:spPr bwMode="auto">
                          <a:xfrm>
                            <a:off x="800" y="1760"/>
                            <a:ext cx="4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 name="Line 15"/>
                        <wps:cNvCnPr/>
                        <wps:spPr bwMode="auto">
                          <a:xfrm>
                            <a:off x="800" y="1243"/>
                            <a:ext cx="4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 name="Line 16"/>
                        <wps:cNvCnPr/>
                        <wps:spPr bwMode="auto">
                          <a:xfrm>
                            <a:off x="800" y="731"/>
                            <a:ext cx="4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 name="Line 17"/>
                        <wps:cNvCnPr/>
                        <wps:spPr bwMode="auto">
                          <a:xfrm>
                            <a:off x="800" y="214"/>
                            <a:ext cx="45"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 name="Line 18"/>
                        <wps:cNvCnPr/>
                        <wps:spPr bwMode="auto">
                          <a:xfrm>
                            <a:off x="845" y="3307"/>
                            <a:ext cx="5147"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3" name="Line 19"/>
                        <wps:cNvCnPr/>
                        <wps:spPr bwMode="auto">
                          <a:xfrm flipV="1">
                            <a:off x="845" y="3307"/>
                            <a:ext cx="0"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4" name="Line 20"/>
                        <wps:cNvCnPr/>
                        <wps:spPr bwMode="auto">
                          <a:xfrm flipV="1">
                            <a:off x="1419" y="3307"/>
                            <a:ext cx="0"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5" name="Line 21"/>
                        <wps:cNvCnPr/>
                        <wps:spPr bwMode="auto">
                          <a:xfrm flipV="1">
                            <a:off x="1987" y="3307"/>
                            <a:ext cx="0"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6" name="Line 22"/>
                        <wps:cNvCnPr/>
                        <wps:spPr bwMode="auto">
                          <a:xfrm flipV="1">
                            <a:off x="2561" y="3307"/>
                            <a:ext cx="0"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7" name="Line 23"/>
                        <wps:cNvCnPr/>
                        <wps:spPr bwMode="auto">
                          <a:xfrm flipV="1">
                            <a:off x="3135" y="3307"/>
                            <a:ext cx="0"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 name="Line 24"/>
                        <wps:cNvCnPr/>
                        <wps:spPr bwMode="auto">
                          <a:xfrm flipV="1">
                            <a:off x="3702" y="3307"/>
                            <a:ext cx="0"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 name="Line 25"/>
                        <wps:cNvCnPr/>
                        <wps:spPr bwMode="auto">
                          <a:xfrm flipV="1">
                            <a:off x="4276" y="3307"/>
                            <a:ext cx="0"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 name="Line 26"/>
                        <wps:cNvCnPr/>
                        <wps:spPr bwMode="auto">
                          <a:xfrm flipV="1">
                            <a:off x="4850" y="3307"/>
                            <a:ext cx="0"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1" name="Line 27"/>
                        <wps:cNvCnPr/>
                        <wps:spPr bwMode="auto">
                          <a:xfrm flipV="1">
                            <a:off x="5418" y="3307"/>
                            <a:ext cx="0"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2" name="Line 28"/>
                        <wps:cNvCnPr/>
                        <wps:spPr bwMode="auto">
                          <a:xfrm flipV="1">
                            <a:off x="5992" y="3307"/>
                            <a:ext cx="0" cy="4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3" name="Freeform 29"/>
                        <wps:cNvSpPr>
                          <a:spLocks/>
                        </wps:cNvSpPr>
                        <wps:spPr bwMode="auto">
                          <a:xfrm>
                            <a:off x="845" y="1786"/>
                            <a:ext cx="5147" cy="719"/>
                          </a:xfrm>
                          <a:custGeom>
                            <a:avLst/>
                            <a:gdLst>
                              <a:gd name="T0" fmla="*/ 0 w 798"/>
                              <a:gd name="T1" fmla="*/ 111 h 111"/>
                              <a:gd name="T2" fmla="*/ 89 w 798"/>
                              <a:gd name="T3" fmla="*/ 92 h 111"/>
                              <a:gd name="T4" fmla="*/ 177 w 798"/>
                              <a:gd name="T5" fmla="*/ 53 h 111"/>
                              <a:gd name="T6" fmla="*/ 266 w 798"/>
                              <a:gd name="T7" fmla="*/ 42 h 111"/>
                              <a:gd name="T8" fmla="*/ 355 w 798"/>
                              <a:gd name="T9" fmla="*/ 13 h 111"/>
                              <a:gd name="T10" fmla="*/ 443 w 798"/>
                              <a:gd name="T11" fmla="*/ 0 h 111"/>
                              <a:gd name="T12" fmla="*/ 532 w 798"/>
                              <a:gd name="T13" fmla="*/ 2 h 111"/>
                              <a:gd name="T14" fmla="*/ 621 w 798"/>
                              <a:gd name="T15" fmla="*/ 14 h 111"/>
                              <a:gd name="T16" fmla="*/ 709 w 798"/>
                              <a:gd name="T17" fmla="*/ 20 h 111"/>
                              <a:gd name="T18" fmla="*/ 798 w 798"/>
                              <a:gd name="T19" fmla="*/ 0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98" h="111">
                                <a:moveTo>
                                  <a:pt x="0" y="111"/>
                                </a:moveTo>
                                <a:lnTo>
                                  <a:pt x="89" y="92"/>
                                </a:lnTo>
                                <a:lnTo>
                                  <a:pt x="177" y="53"/>
                                </a:lnTo>
                                <a:lnTo>
                                  <a:pt x="266" y="42"/>
                                </a:lnTo>
                                <a:lnTo>
                                  <a:pt x="355" y="13"/>
                                </a:lnTo>
                                <a:lnTo>
                                  <a:pt x="443" y="0"/>
                                </a:lnTo>
                                <a:lnTo>
                                  <a:pt x="532" y="2"/>
                                </a:lnTo>
                                <a:lnTo>
                                  <a:pt x="621" y="14"/>
                                </a:lnTo>
                                <a:lnTo>
                                  <a:pt x="709" y="20"/>
                                </a:lnTo>
                                <a:lnTo>
                                  <a:pt x="798" y="0"/>
                                </a:lnTo>
                              </a:path>
                            </a:pathLst>
                          </a:custGeom>
                          <a:noFill/>
                          <a:ln w="12065">
                            <a:solidFill>
                              <a:srgbClr val="33996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Line 30"/>
                        <wps:cNvCnPr/>
                        <wps:spPr bwMode="auto">
                          <a:xfrm flipV="1">
                            <a:off x="845" y="2563"/>
                            <a:ext cx="574" cy="123"/>
                          </a:xfrm>
                          <a:prstGeom prst="line">
                            <a:avLst/>
                          </a:prstGeom>
                          <a:noFill/>
                          <a:ln w="12065">
                            <a:solidFill>
                              <a:srgbClr val="99CC00"/>
                            </a:solidFill>
                            <a:round/>
                            <a:headEnd/>
                            <a:tailEnd/>
                          </a:ln>
                          <a:extLst>
                            <a:ext uri="{909E8E84-426E-40DD-AFC4-6F175D3DCCD1}">
                              <a14:hiddenFill xmlns:a14="http://schemas.microsoft.com/office/drawing/2010/main">
                                <a:noFill/>
                              </a14:hiddenFill>
                            </a:ext>
                          </a:extLst>
                        </wps:spPr>
                        <wps:bodyPr/>
                      </wps:wsp>
                      <wps:wsp>
                        <wps:cNvPr id="45" name="Freeform 31"/>
                        <wps:cNvSpPr>
                          <a:spLocks/>
                        </wps:cNvSpPr>
                        <wps:spPr bwMode="auto">
                          <a:xfrm>
                            <a:off x="1419" y="2440"/>
                            <a:ext cx="568" cy="123"/>
                          </a:xfrm>
                          <a:custGeom>
                            <a:avLst/>
                            <a:gdLst>
                              <a:gd name="T0" fmla="*/ 0 w 568"/>
                              <a:gd name="T1" fmla="*/ 123 h 123"/>
                              <a:gd name="T2" fmla="*/ 142 w 568"/>
                              <a:gd name="T3" fmla="*/ 97 h 123"/>
                              <a:gd name="T4" fmla="*/ 284 w 568"/>
                              <a:gd name="T5" fmla="*/ 71 h 123"/>
                              <a:gd name="T6" fmla="*/ 426 w 568"/>
                              <a:gd name="T7" fmla="*/ 39 h 123"/>
                              <a:gd name="T8" fmla="*/ 568 w 568"/>
                              <a:gd name="T9" fmla="*/ 0 h 123"/>
                            </a:gdLst>
                            <a:ahLst/>
                            <a:cxnLst>
                              <a:cxn ang="0">
                                <a:pos x="T0" y="T1"/>
                              </a:cxn>
                              <a:cxn ang="0">
                                <a:pos x="T2" y="T3"/>
                              </a:cxn>
                              <a:cxn ang="0">
                                <a:pos x="T4" y="T5"/>
                              </a:cxn>
                              <a:cxn ang="0">
                                <a:pos x="T6" y="T7"/>
                              </a:cxn>
                              <a:cxn ang="0">
                                <a:pos x="T8" y="T9"/>
                              </a:cxn>
                            </a:cxnLst>
                            <a:rect l="0" t="0" r="r" b="b"/>
                            <a:pathLst>
                              <a:path w="568" h="123">
                                <a:moveTo>
                                  <a:pt x="0" y="123"/>
                                </a:moveTo>
                                <a:lnTo>
                                  <a:pt x="142" y="97"/>
                                </a:lnTo>
                                <a:lnTo>
                                  <a:pt x="284" y="71"/>
                                </a:lnTo>
                                <a:lnTo>
                                  <a:pt x="426" y="39"/>
                                </a:lnTo>
                                <a:lnTo>
                                  <a:pt x="568" y="0"/>
                                </a:lnTo>
                              </a:path>
                            </a:pathLst>
                          </a:custGeom>
                          <a:noFill/>
                          <a:ln w="12065">
                            <a:solidFill>
                              <a:srgbClr val="99CC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32"/>
                        <wps:cNvSpPr>
                          <a:spLocks/>
                        </wps:cNvSpPr>
                        <wps:spPr bwMode="auto">
                          <a:xfrm>
                            <a:off x="1987" y="2201"/>
                            <a:ext cx="574" cy="239"/>
                          </a:xfrm>
                          <a:custGeom>
                            <a:avLst/>
                            <a:gdLst>
                              <a:gd name="T0" fmla="*/ 0 w 574"/>
                              <a:gd name="T1" fmla="*/ 239 h 239"/>
                              <a:gd name="T2" fmla="*/ 71 w 574"/>
                              <a:gd name="T3" fmla="*/ 213 h 239"/>
                              <a:gd name="T4" fmla="*/ 142 w 574"/>
                              <a:gd name="T5" fmla="*/ 181 h 239"/>
                              <a:gd name="T6" fmla="*/ 283 w 574"/>
                              <a:gd name="T7" fmla="*/ 116 h 239"/>
                              <a:gd name="T8" fmla="*/ 432 w 574"/>
                              <a:gd name="T9" fmla="*/ 51 h 239"/>
                              <a:gd name="T10" fmla="*/ 503 w 574"/>
                              <a:gd name="T11" fmla="*/ 26 h 239"/>
                              <a:gd name="T12" fmla="*/ 574 w 574"/>
                              <a:gd name="T13" fmla="*/ 0 h 239"/>
                            </a:gdLst>
                            <a:ahLst/>
                            <a:cxnLst>
                              <a:cxn ang="0">
                                <a:pos x="T0" y="T1"/>
                              </a:cxn>
                              <a:cxn ang="0">
                                <a:pos x="T2" y="T3"/>
                              </a:cxn>
                              <a:cxn ang="0">
                                <a:pos x="T4" y="T5"/>
                              </a:cxn>
                              <a:cxn ang="0">
                                <a:pos x="T6" y="T7"/>
                              </a:cxn>
                              <a:cxn ang="0">
                                <a:pos x="T8" y="T9"/>
                              </a:cxn>
                              <a:cxn ang="0">
                                <a:pos x="T10" y="T11"/>
                              </a:cxn>
                              <a:cxn ang="0">
                                <a:pos x="T12" y="T13"/>
                              </a:cxn>
                            </a:cxnLst>
                            <a:rect l="0" t="0" r="r" b="b"/>
                            <a:pathLst>
                              <a:path w="574" h="239">
                                <a:moveTo>
                                  <a:pt x="0" y="239"/>
                                </a:moveTo>
                                <a:lnTo>
                                  <a:pt x="71" y="213"/>
                                </a:lnTo>
                                <a:lnTo>
                                  <a:pt x="142" y="181"/>
                                </a:lnTo>
                                <a:lnTo>
                                  <a:pt x="283" y="116"/>
                                </a:lnTo>
                                <a:lnTo>
                                  <a:pt x="432" y="51"/>
                                </a:lnTo>
                                <a:lnTo>
                                  <a:pt x="503" y="26"/>
                                </a:lnTo>
                                <a:lnTo>
                                  <a:pt x="574" y="0"/>
                                </a:lnTo>
                              </a:path>
                            </a:pathLst>
                          </a:custGeom>
                          <a:noFill/>
                          <a:ln w="12065">
                            <a:solidFill>
                              <a:srgbClr val="99CC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33"/>
                        <wps:cNvSpPr>
                          <a:spLocks/>
                        </wps:cNvSpPr>
                        <wps:spPr bwMode="auto">
                          <a:xfrm>
                            <a:off x="2561" y="2123"/>
                            <a:ext cx="574" cy="78"/>
                          </a:xfrm>
                          <a:custGeom>
                            <a:avLst/>
                            <a:gdLst>
                              <a:gd name="T0" fmla="*/ 0 w 574"/>
                              <a:gd name="T1" fmla="*/ 78 h 78"/>
                              <a:gd name="T2" fmla="*/ 71 w 574"/>
                              <a:gd name="T3" fmla="*/ 58 h 78"/>
                              <a:gd name="T4" fmla="*/ 142 w 574"/>
                              <a:gd name="T5" fmla="*/ 52 h 78"/>
                              <a:gd name="T6" fmla="*/ 290 w 574"/>
                              <a:gd name="T7" fmla="*/ 32 h 78"/>
                              <a:gd name="T8" fmla="*/ 432 w 574"/>
                              <a:gd name="T9" fmla="*/ 19 h 78"/>
                              <a:gd name="T10" fmla="*/ 503 w 574"/>
                              <a:gd name="T11" fmla="*/ 13 h 78"/>
                              <a:gd name="T12" fmla="*/ 574 w 574"/>
                              <a:gd name="T13" fmla="*/ 0 h 78"/>
                            </a:gdLst>
                            <a:ahLst/>
                            <a:cxnLst>
                              <a:cxn ang="0">
                                <a:pos x="T0" y="T1"/>
                              </a:cxn>
                              <a:cxn ang="0">
                                <a:pos x="T2" y="T3"/>
                              </a:cxn>
                              <a:cxn ang="0">
                                <a:pos x="T4" y="T5"/>
                              </a:cxn>
                              <a:cxn ang="0">
                                <a:pos x="T6" y="T7"/>
                              </a:cxn>
                              <a:cxn ang="0">
                                <a:pos x="T8" y="T9"/>
                              </a:cxn>
                              <a:cxn ang="0">
                                <a:pos x="T10" y="T11"/>
                              </a:cxn>
                              <a:cxn ang="0">
                                <a:pos x="T12" y="T13"/>
                              </a:cxn>
                            </a:cxnLst>
                            <a:rect l="0" t="0" r="r" b="b"/>
                            <a:pathLst>
                              <a:path w="574" h="78">
                                <a:moveTo>
                                  <a:pt x="0" y="78"/>
                                </a:moveTo>
                                <a:lnTo>
                                  <a:pt x="71" y="58"/>
                                </a:lnTo>
                                <a:lnTo>
                                  <a:pt x="142" y="52"/>
                                </a:lnTo>
                                <a:lnTo>
                                  <a:pt x="290" y="32"/>
                                </a:lnTo>
                                <a:lnTo>
                                  <a:pt x="432" y="19"/>
                                </a:lnTo>
                                <a:lnTo>
                                  <a:pt x="503" y="13"/>
                                </a:lnTo>
                                <a:lnTo>
                                  <a:pt x="574" y="0"/>
                                </a:lnTo>
                              </a:path>
                            </a:pathLst>
                          </a:custGeom>
                          <a:noFill/>
                          <a:ln w="12065">
                            <a:solidFill>
                              <a:srgbClr val="99CC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34"/>
                        <wps:cNvSpPr>
                          <a:spLocks/>
                        </wps:cNvSpPr>
                        <wps:spPr bwMode="auto">
                          <a:xfrm>
                            <a:off x="3135" y="1948"/>
                            <a:ext cx="567" cy="175"/>
                          </a:xfrm>
                          <a:custGeom>
                            <a:avLst/>
                            <a:gdLst>
                              <a:gd name="T0" fmla="*/ 0 w 567"/>
                              <a:gd name="T1" fmla="*/ 175 h 175"/>
                              <a:gd name="T2" fmla="*/ 142 w 567"/>
                              <a:gd name="T3" fmla="*/ 136 h 175"/>
                              <a:gd name="T4" fmla="*/ 284 w 567"/>
                              <a:gd name="T5" fmla="*/ 91 h 175"/>
                              <a:gd name="T6" fmla="*/ 425 w 567"/>
                              <a:gd name="T7" fmla="*/ 39 h 175"/>
                              <a:gd name="T8" fmla="*/ 567 w 567"/>
                              <a:gd name="T9" fmla="*/ 0 h 175"/>
                            </a:gdLst>
                            <a:ahLst/>
                            <a:cxnLst>
                              <a:cxn ang="0">
                                <a:pos x="T0" y="T1"/>
                              </a:cxn>
                              <a:cxn ang="0">
                                <a:pos x="T2" y="T3"/>
                              </a:cxn>
                              <a:cxn ang="0">
                                <a:pos x="T4" y="T5"/>
                              </a:cxn>
                              <a:cxn ang="0">
                                <a:pos x="T6" y="T7"/>
                              </a:cxn>
                              <a:cxn ang="0">
                                <a:pos x="T8" y="T9"/>
                              </a:cxn>
                            </a:cxnLst>
                            <a:rect l="0" t="0" r="r" b="b"/>
                            <a:pathLst>
                              <a:path w="567" h="175">
                                <a:moveTo>
                                  <a:pt x="0" y="175"/>
                                </a:moveTo>
                                <a:lnTo>
                                  <a:pt x="142" y="136"/>
                                </a:lnTo>
                                <a:lnTo>
                                  <a:pt x="284" y="91"/>
                                </a:lnTo>
                                <a:lnTo>
                                  <a:pt x="425" y="39"/>
                                </a:lnTo>
                                <a:lnTo>
                                  <a:pt x="567" y="0"/>
                                </a:lnTo>
                              </a:path>
                            </a:pathLst>
                          </a:custGeom>
                          <a:noFill/>
                          <a:ln w="12065">
                            <a:solidFill>
                              <a:srgbClr val="99CC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35"/>
                        <wps:cNvSpPr>
                          <a:spLocks/>
                        </wps:cNvSpPr>
                        <wps:spPr bwMode="auto">
                          <a:xfrm>
                            <a:off x="3702" y="1858"/>
                            <a:ext cx="574" cy="90"/>
                          </a:xfrm>
                          <a:custGeom>
                            <a:avLst/>
                            <a:gdLst>
                              <a:gd name="T0" fmla="*/ 0 w 574"/>
                              <a:gd name="T1" fmla="*/ 90 h 90"/>
                              <a:gd name="T2" fmla="*/ 142 w 574"/>
                              <a:gd name="T3" fmla="*/ 58 h 90"/>
                              <a:gd name="T4" fmla="*/ 284 w 574"/>
                              <a:gd name="T5" fmla="*/ 32 h 90"/>
                              <a:gd name="T6" fmla="*/ 433 w 574"/>
                              <a:gd name="T7" fmla="*/ 13 h 90"/>
                              <a:gd name="T8" fmla="*/ 574 w 574"/>
                              <a:gd name="T9" fmla="*/ 0 h 90"/>
                            </a:gdLst>
                            <a:ahLst/>
                            <a:cxnLst>
                              <a:cxn ang="0">
                                <a:pos x="T0" y="T1"/>
                              </a:cxn>
                              <a:cxn ang="0">
                                <a:pos x="T2" y="T3"/>
                              </a:cxn>
                              <a:cxn ang="0">
                                <a:pos x="T4" y="T5"/>
                              </a:cxn>
                              <a:cxn ang="0">
                                <a:pos x="T6" y="T7"/>
                              </a:cxn>
                              <a:cxn ang="0">
                                <a:pos x="T8" y="T9"/>
                              </a:cxn>
                            </a:cxnLst>
                            <a:rect l="0" t="0" r="r" b="b"/>
                            <a:pathLst>
                              <a:path w="574" h="90">
                                <a:moveTo>
                                  <a:pt x="0" y="90"/>
                                </a:moveTo>
                                <a:lnTo>
                                  <a:pt x="142" y="58"/>
                                </a:lnTo>
                                <a:lnTo>
                                  <a:pt x="284" y="32"/>
                                </a:lnTo>
                                <a:lnTo>
                                  <a:pt x="433" y="13"/>
                                </a:lnTo>
                                <a:lnTo>
                                  <a:pt x="574" y="0"/>
                                </a:lnTo>
                              </a:path>
                            </a:pathLst>
                          </a:custGeom>
                          <a:noFill/>
                          <a:ln w="12065">
                            <a:solidFill>
                              <a:srgbClr val="99CC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36"/>
                        <wps:cNvSpPr>
                          <a:spLocks/>
                        </wps:cNvSpPr>
                        <wps:spPr bwMode="auto">
                          <a:xfrm>
                            <a:off x="4276" y="1851"/>
                            <a:ext cx="574" cy="20"/>
                          </a:xfrm>
                          <a:custGeom>
                            <a:avLst/>
                            <a:gdLst>
                              <a:gd name="T0" fmla="*/ 0 w 574"/>
                              <a:gd name="T1" fmla="*/ 7 h 20"/>
                              <a:gd name="T2" fmla="*/ 142 w 574"/>
                              <a:gd name="T3" fmla="*/ 0 h 20"/>
                              <a:gd name="T4" fmla="*/ 291 w 574"/>
                              <a:gd name="T5" fmla="*/ 0 h 20"/>
                              <a:gd name="T6" fmla="*/ 433 w 574"/>
                              <a:gd name="T7" fmla="*/ 13 h 20"/>
                              <a:gd name="T8" fmla="*/ 574 w 574"/>
                              <a:gd name="T9" fmla="*/ 20 h 20"/>
                            </a:gdLst>
                            <a:ahLst/>
                            <a:cxnLst>
                              <a:cxn ang="0">
                                <a:pos x="T0" y="T1"/>
                              </a:cxn>
                              <a:cxn ang="0">
                                <a:pos x="T2" y="T3"/>
                              </a:cxn>
                              <a:cxn ang="0">
                                <a:pos x="T4" y="T5"/>
                              </a:cxn>
                              <a:cxn ang="0">
                                <a:pos x="T6" y="T7"/>
                              </a:cxn>
                              <a:cxn ang="0">
                                <a:pos x="T8" y="T9"/>
                              </a:cxn>
                            </a:cxnLst>
                            <a:rect l="0" t="0" r="r" b="b"/>
                            <a:pathLst>
                              <a:path w="574" h="20">
                                <a:moveTo>
                                  <a:pt x="0" y="7"/>
                                </a:moveTo>
                                <a:lnTo>
                                  <a:pt x="142" y="0"/>
                                </a:lnTo>
                                <a:lnTo>
                                  <a:pt x="291" y="0"/>
                                </a:lnTo>
                                <a:lnTo>
                                  <a:pt x="433" y="13"/>
                                </a:lnTo>
                                <a:lnTo>
                                  <a:pt x="574" y="20"/>
                                </a:lnTo>
                              </a:path>
                            </a:pathLst>
                          </a:custGeom>
                          <a:noFill/>
                          <a:ln w="12065">
                            <a:solidFill>
                              <a:srgbClr val="99CC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37"/>
                        <wps:cNvSpPr>
                          <a:spLocks/>
                        </wps:cNvSpPr>
                        <wps:spPr bwMode="auto">
                          <a:xfrm>
                            <a:off x="4850" y="1871"/>
                            <a:ext cx="568" cy="71"/>
                          </a:xfrm>
                          <a:custGeom>
                            <a:avLst/>
                            <a:gdLst>
                              <a:gd name="T0" fmla="*/ 0 w 568"/>
                              <a:gd name="T1" fmla="*/ 0 h 71"/>
                              <a:gd name="T2" fmla="*/ 142 w 568"/>
                              <a:gd name="T3" fmla="*/ 12 h 71"/>
                              <a:gd name="T4" fmla="*/ 284 w 568"/>
                              <a:gd name="T5" fmla="*/ 32 h 71"/>
                              <a:gd name="T6" fmla="*/ 426 w 568"/>
                              <a:gd name="T7" fmla="*/ 51 h 71"/>
                              <a:gd name="T8" fmla="*/ 568 w 568"/>
                              <a:gd name="T9" fmla="*/ 71 h 71"/>
                            </a:gdLst>
                            <a:ahLst/>
                            <a:cxnLst>
                              <a:cxn ang="0">
                                <a:pos x="T0" y="T1"/>
                              </a:cxn>
                              <a:cxn ang="0">
                                <a:pos x="T2" y="T3"/>
                              </a:cxn>
                              <a:cxn ang="0">
                                <a:pos x="T4" y="T5"/>
                              </a:cxn>
                              <a:cxn ang="0">
                                <a:pos x="T6" y="T7"/>
                              </a:cxn>
                              <a:cxn ang="0">
                                <a:pos x="T8" y="T9"/>
                              </a:cxn>
                            </a:cxnLst>
                            <a:rect l="0" t="0" r="r" b="b"/>
                            <a:pathLst>
                              <a:path w="568" h="71">
                                <a:moveTo>
                                  <a:pt x="0" y="0"/>
                                </a:moveTo>
                                <a:lnTo>
                                  <a:pt x="142" y="12"/>
                                </a:lnTo>
                                <a:lnTo>
                                  <a:pt x="284" y="32"/>
                                </a:lnTo>
                                <a:lnTo>
                                  <a:pt x="426" y="51"/>
                                </a:lnTo>
                                <a:lnTo>
                                  <a:pt x="568" y="71"/>
                                </a:lnTo>
                              </a:path>
                            </a:pathLst>
                          </a:custGeom>
                          <a:noFill/>
                          <a:ln w="12065">
                            <a:solidFill>
                              <a:srgbClr val="99CC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38"/>
                        <wps:cNvSpPr>
                          <a:spLocks/>
                        </wps:cNvSpPr>
                        <wps:spPr bwMode="auto">
                          <a:xfrm>
                            <a:off x="5418" y="1942"/>
                            <a:ext cx="574" cy="32"/>
                          </a:xfrm>
                          <a:custGeom>
                            <a:avLst/>
                            <a:gdLst>
                              <a:gd name="T0" fmla="*/ 0 w 574"/>
                              <a:gd name="T1" fmla="*/ 0 h 32"/>
                              <a:gd name="T2" fmla="*/ 284 w 574"/>
                              <a:gd name="T3" fmla="*/ 19 h 32"/>
                              <a:gd name="T4" fmla="*/ 574 w 574"/>
                              <a:gd name="T5" fmla="*/ 32 h 32"/>
                            </a:gdLst>
                            <a:ahLst/>
                            <a:cxnLst>
                              <a:cxn ang="0">
                                <a:pos x="T0" y="T1"/>
                              </a:cxn>
                              <a:cxn ang="0">
                                <a:pos x="T2" y="T3"/>
                              </a:cxn>
                              <a:cxn ang="0">
                                <a:pos x="T4" y="T5"/>
                              </a:cxn>
                            </a:cxnLst>
                            <a:rect l="0" t="0" r="r" b="b"/>
                            <a:pathLst>
                              <a:path w="574" h="32">
                                <a:moveTo>
                                  <a:pt x="0" y="0"/>
                                </a:moveTo>
                                <a:lnTo>
                                  <a:pt x="284" y="19"/>
                                </a:lnTo>
                                <a:lnTo>
                                  <a:pt x="574" y="32"/>
                                </a:lnTo>
                              </a:path>
                            </a:pathLst>
                          </a:custGeom>
                          <a:noFill/>
                          <a:ln w="12065">
                            <a:solidFill>
                              <a:srgbClr val="99CC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39"/>
                        <wps:cNvSpPr>
                          <a:spLocks/>
                        </wps:cNvSpPr>
                        <wps:spPr bwMode="auto">
                          <a:xfrm>
                            <a:off x="845" y="2764"/>
                            <a:ext cx="574" cy="13"/>
                          </a:xfrm>
                          <a:custGeom>
                            <a:avLst/>
                            <a:gdLst>
                              <a:gd name="T0" fmla="*/ 0 w 574"/>
                              <a:gd name="T1" fmla="*/ 6 h 13"/>
                              <a:gd name="T2" fmla="*/ 142 w 574"/>
                              <a:gd name="T3" fmla="*/ 6 h 13"/>
                              <a:gd name="T4" fmla="*/ 290 w 574"/>
                              <a:gd name="T5" fmla="*/ 13 h 13"/>
                              <a:gd name="T6" fmla="*/ 432 w 574"/>
                              <a:gd name="T7" fmla="*/ 13 h 13"/>
                              <a:gd name="T8" fmla="*/ 574 w 574"/>
                              <a:gd name="T9" fmla="*/ 0 h 13"/>
                            </a:gdLst>
                            <a:ahLst/>
                            <a:cxnLst>
                              <a:cxn ang="0">
                                <a:pos x="T0" y="T1"/>
                              </a:cxn>
                              <a:cxn ang="0">
                                <a:pos x="T2" y="T3"/>
                              </a:cxn>
                              <a:cxn ang="0">
                                <a:pos x="T4" y="T5"/>
                              </a:cxn>
                              <a:cxn ang="0">
                                <a:pos x="T6" y="T7"/>
                              </a:cxn>
                              <a:cxn ang="0">
                                <a:pos x="T8" y="T9"/>
                              </a:cxn>
                            </a:cxnLst>
                            <a:rect l="0" t="0" r="r" b="b"/>
                            <a:pathLst>
                              <a:path w="574" h="13">
                                <a:moveTo>
                                  <a:pt x="0" y="6"/>
                                </a:moveTo>
                                <a:lnTo>
                                  <a:pt x="142" y="6"/>
                                </a:lnTo>
                                <a:lnTo>
                                  <a:pt x="290" y="13"/>
                                </a:lnTo>
                                <a:lnTo>
                                  <a:pt x="432" y="13"/>
                                </a:lnTo>
                                <a:lnTo>
                                  <a:pt x="574" y="0"/>
                                </a:lnTo>
                              </a:path>
                            </a:pathLst>
                          </a:custGeom>
                          <a:noFill/>
                          <a:ln w="12065">
                            <a:solidFill>
                              <a:srgbClr val="00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40"/>
                        <wps:cNvSpPr>
                          <a:spLocks/>
                        </wps:cNvSpPr>
                        <wps:spPr bwMode="auto">
                          <a:xfrm>
                            <a:off x="1419" y="2641"/>
                            <a:ext cx="568" cy="123"/>
                          </a:xfrm>
                          <a:custGeom>
                            <a:avLst/>
                            <a:gdLst>
                              <a:gd name="T0" fmla="*/ 0 w 568"/>
                              <a:gd name="T1" fmla="*/ 123 h 123"/>
                              <a:gd name="T2" fmla="*/ 142 w 568"/>
                              <a:gd name="T3" fmla="*/ 97 h 123"/>
                              <a:gd name="T4" fmla="*/ 284 w 568"/>
                              <a:gd name="T5" fmla="*/ 71 h 123"/>
                              <a:gd name="T6" fmla="*/ 426 w 568"/>
                              <a:gd name="T7" fmla="*/ 32 h 123"/>
                              <a:gd name="T8" fmla="*/ 568 w 568"/>
                              <a:gd name="T9" fmla="*/ 0 h 123"/>
                            </a:gdLst>
                            <a:ahLst/>
                            <a:cxnLst>
                              <a:cxn ang="0">
                                <a:pos x="T0" y="T1"/>
                              </a:cxn>
                              <a:cxn ang="0">
                                <a:pos x="T2" y="T3"/>
                              </a:cxn>
                              <a:cxn ang="0">
                                <a:pos x="T4" y="T5"/>
                              </a:cxn>
                              <a:cxn ang="0">
                                <a:pos x="T6" y="T7"/>
                              </a:cxn>
                              <a:cxn ang="0">
                                <a:pos x="T8" y="T9"/>
                              </a:cxn>
                            </a:cxnLst>
                            <a:rect l="0" t="0" r="r" b="b"/>
                            <a:pathLst>
                              <a:path w="568" h="123">
                                <a:moveTo>
                                  <a:pt x="0" y="123"/>
                                </a:moveTo>
                                <a:lnTo>
                                  <a:pt x="142" y="97"/>
                                </a:lnTo>
                                <a:lnTo>
                                  <a:pt x="284" y="71"/>
                                </a:lnTo>
                                <a:lnTo>
                                  <a:pt x="426" y="32"/>
                                </a:lnTo>
                                <a:lnTo>
                                  <a:pt x="568" y="0"/>
                                </a:lnTo>
                              </a:path>
                            </a:pathLst>
                          </a:custGeom>
                          <a:noFill/>
                          <a:ln w="12065">
                            <a:solidFill>
                              <a:srgbClr val="00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41"/>
                        <wps:cNvSpPr>
                          <a:spLocks/>
                        </wps:cNvSpPr>
                        <wps:spPr bwMode="auto">
                          <a:xfrm>
                            <a:off x="1987" y="2531"/>
                            <a:ext cx="574" cy="110"/>
                          </a:xfrm>
                          <a:custGeom>
                            <a:avLst/>
                            <a:gdLst>
                              <a:gd name="T0" fmla="*/ 0 w 574"/>
                              <a:gd name="T1" fmla="*/ 110 h 110"/>
                              <a:gd name="T2" fmla="*/ 142 w 574"/>
                              <a:gd name="T3" fmla="*/ 84 h 110"/>
                              <a:gd name="T4" fmla="*/ 283 w 574"/>
                              <a:gd name="T5" fmla="*/ 58 h 110"/>
                              <a:gd name="T6" fmla="*/ 432 w 574"/>
                              <a:gd name="T7" fmla="*/ 32 h 110"/>
                              <a:gd name="T8" fmla="*/ 574 w 574"/>
                              <a:gd name="T9" fmla="*/ 0 h 110"/>
                            </a:gdLst>
                            <a:ahLst/>
                            <a:cxnLst>
                              <a:cxn ang="0">
                                <a:pos x="T0" y="T1"/>
                              </a:cxn>
                              <a:cxn ang="0">
                                <a:pos x="T2" y="T3"/>
                              </a:cxn>
                              <a:cxn ang="0">
                                <a:pos x="T4" y="T5"/>
                              </a:cxn>
                              <a:cxn ang="0">
                                <a:pos x="T6" y="T7"/>
                              </a:cxn>
                              <a:cxn ang="0">
                                <a:pos x="T8" y="T9"/>
                              </a:cxn>
                            </a:cxnLst>
                            <a:rect l="0" t="0" r="r" b="b"/>
                            <a:pathLst>
                              <a:path w="574" h="110">
                                <a:moveTo>
                                  <a:pt x="0" y="110"/>
                                </a:moveTo>
                                <a:lnTo>
                                  <a:pt x="142" y="84"/>
                                </a:lnTo>
                                <a:lnTo>
                                  <a:pt x="283" y="58"/>
                                </a:lnTo>
                                <a:lnTo>
                                  <a:pt x="432" y="32"/>
                                </a:lnTo>
                                <a:lnTo>
                                  <a:pt x="574" y="0"/>
                                </a:lnTo>
                              </a:path>
                            </a:pathLst>
                          </a:custGeom>
                          <a:noFill/>
                          <a:ln w="12065">
                            <a:solidFill>
                              <a:srgbClr val="00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42"/>
                        <wps:cNvSpPr>
                          <a:spLocks/>
                        </wps:cNvSpPr>
                        <wps:spPr bwMode="auto">
                          <a:xfrm>
                            <a:off x="2561" y="2311"/>
                            <a:ext cx="574" cy="220"/>
                          </a:xfrm>
                          <a:custGeom>
                            <a:avLst/>
                            <a:gdLst>
                              <a:gd name="T0" fmla="*/ 0 w 574"/>
                              <a:gd name="T1" fmla="*/ 220 h 220"/>
                              <a:gd name="T2" fmla="*/ 71 w 574"/>
                              <a:gd name="T3" fmla="*/ 194 h 220"/>
                              <a:gd name="T4" fmla="*/ 142 w 574"/>
                              <a:gd name="T5" fmla="*/ 168 h 220"/>
                              <a:gd name="T6" fmla="*/ 290 w 574"/>
                              <a:gd name="T7" fmla="*/ 110 h 220"/>
                              <a:gd name="T8" fmla="*/ 432 w 574"/>
                              <a:gd name="T9" fmla="*/ 45 h 220"/>
                              <a:gd name="T10" fmla="*/ 503 w 574"/>
                              <a:gd name="T11" fmla="*/ 19 h 220"/>
                              <a:gd name="T12" fmla="*/ 574 w 574"/>
                              <a:gd name="T13" fmla="*/ 0 h 220"/>
                            </a:gdLst>
                            <a:ahLst/>
                            <a:cxnLst>
                              <a:cxn ang="0">
                                <a:pos x="T0" y="T1"/>
                              </a:cxn>
                              <a:cxn ang="0">
                                <a:pos x="T2" y="T3"/>
                              </a:cxn>
                              <a:cxn ang="0">
                                <a:pos x="T4" y="T5"/>
                              </a:cxn>
                              <a:cxn ang="0">
                                <a:pos x="T6" y="T7"/>
                              </a:cxn>
                              <a:cxn ang="0">
                                <a:pos x="T8" y="T9"/>
                              </a:cxn>
                              <a:cxn ang="0">
                                <a:pos x="T10" y="T11"/>
                              </a:cxn>
                              <a:cxn ang="0">
                                <a:pos x="T12" y="T13"/>
                              </a:cxn>
                            </a:cxnLst>
                            <a:rect l="0" t="0" r="r" b="b"/>
                            <a:pathLst>
                              <a:path w="574" h="220">
                                <a:moveTo>
                                  <a:pt x="0" y="220"/>
                                </a:moveTo>
                                <a:lnTo>
                                  <a:pt x="71" y="194"/>
                                </a:lnTo>
                                <a:lnTo>
                                  <a:pt x="142" y="168"/>
                                </a:lnTo>
                                <a:lnTo>
                                  <a:pt x="290" y="110"/>
                                </a:lnTo>
                                <a:lnTo>
                                  <a:pt x="432" y="45"/>
                                </a:lnTo>
                                <a:lnTo>
                                  <a:pt x="503" y="19"/>
                                </a:lnTo>
                                <a:lnTo>
                                  <a:pt x="574" y="0"/>
                                </a:lnTo>
                              </a:path>
                            </a:pathLst>
                          </a:custGeom>
                          <a:noFill/>
                          <a:ln w="12065">
                            <a:solidFill>
                              <a:srgbClr val="00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43"/>
                        <wps:cNvSpPr>
                          <a:spLocks/>
                        </wps:cNvSpPr>
                        <wps:spPr bwMode="auto">
                          <a:xfrm>
                            <a:off x="3135" y="2233"/>
                            <a:ext cx="567" cy="78"/>
                          </a:xfrm>
                          <a:custGeom>
                            <a:avLst/>
                            <a:gdLst>
                              <a:gd name="T0" fmla="*/ 0 w 567"/>
                              <a:gd name="T1" fmla="*/ 78 h 78"/>
                              <a:gd name="T2" fmla="*/ 71 w 567"/>
                              <a:gd name="T3" fmla="*/ 65 h 78"/>
                              <a:gd name="T4" fmla="*/ 142 w 567"/>
                              <a:gd name="T5" fmla="*/ 52 h 78"/>
                              <a:gd name="T6" fmla="*/ 284 w 567"/>
                              <a:gd name="T7" fmla="*/ 39 h 78"/>
                              <a:gd name="T8" fmla="*/ 425 w 567"/>
                              <a:gd name="T9" fmla="*/ 19 h 78"/>
                              <a:gd name="T10" fmla="*/ 496 w 567"/>
                              <a:gd name="T11" fmla="*/ 13 h 78"/>
                              <a:gd name="T12" fmla="*/ 567 w 567"/>
                              <a:gd name="T13" fmla="*/ 0 h 78"/>
                            </a:gdLst>
                            <a:ahLst/>
                            <a:cxnLst>
                              <a:cxn ang="0">
                                <a:pos x="T0" y="T1"/>
                              </a:cxn>
                              <a:cxn ang="0">
                                <a:pos x="T2" y="T3"/>
                              </a:cxn>
                              <a:cxn ang="0">
                                <a:pos x="T4" y="T5"/>
                              </a:cxn>
                              <a:cxn ang="0">
                                <a:pos x="T6" y="T7"/>
                              </a:cxn>
                              <a:cxn ang="0">
                                <a:pos x="T8" y="T9"/>
                              </a:cxn>
                              <a:cxn ang="0">
                                <a:pos x="T10" y="T11"/>
                              </a:cxn>
                              <a:cxn ang="0">
                                <a:pos x="T12" y="T13"/>
                              </a:cxn>
                            </a:cxnLst>
                            <a:rect l="0" t="0" r="r" b="b"/>
                            <a:pathLst>
                              <a:path w="567" h="78">
                                <a:moveTo>
                                  <a:pt x="0" y="78"/>
                                </a:moveTo>
                                <a:lnTo>
                                  <a:pt x="71" y="65"/>
                                </a:lnTo>
                                <a:lnTo>
                                  <a:pt x="142" y="52"/>
                                </a:lnTo>
                                <a:lnTo>
                                  <a:pt x="284" y="39"/>
                                </a:lnTo>
                                <a:lnTo>
                                  <a:pt x="425" y="19"/>
                                </a:lnTo>
                                <a:lnTo>
                                  <a:pt x="496" y="13"/>
                                </a:lnTo>
                                <a:lnTo>
                                  <a:pt x="567" y="0"/>
                                </a:lnTo>
                              </a:path>
                            </a:pathLst>
                          </a:custGeom>
                          <a:noFill/>
                          <a:ln w="12065">
                            <a:solidFill>
                              <a:srgbClr val="00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44"/>
                        <wps:cNvSpPr>
                          <a:spLocks/>
                        </wps:cNvSpPr>
                        <wps:spPr bwMode="auto">
                          <a:xfrm>
                            <a:off x="3702" y="2065"/>
                            <a:ext cx="574" cy="168"/>
                          </a:xfrm>
                          <a:custGeom>
                            <a:avLst/>
                            <a:gdLst>
                              <a:gd name="T0" fmla="*/ 0 w 574"/>
                              <a:gd name="T1" fmla="*/ 168 h 168"/>
                              <a:gd name="T2" fmla="*/ 142 w 574"/>
                              <a:gd name="T3" fmla="*/ 129 h 168"/>
                              <a:gd name="T4" fmla="*/ 284 w 574"/>
                              <a:gd name="T5" fmla="*/ 84 h 168"/>
                              <a:gd name="T6" fmla="*/ 433 w 574"/>
                              <a:gd name="T7" fmla="*/ 39 h 168"/>
                              <a:gd name="T8" fmla="*/ 574 w 574"/>
                              <a:gd name="T9" fmla="*/ 0 h 168"/>
                            </a:gdLst>
                            <a:ahLst/>
                            <a:cxnLst>
                              <a:cxn ang="0">
                                <a:pos x="T0" y="T1"/>
                              </a:cxn>
                              <a:cxn ang="0">
                                <a:pos x="T2" y="T3"/>
                              </a:cxn>
                              <a:cxn ang="0">
                                <a:pos x="T4" y="T5"/>
                              </a:cxn>
                              <a:cxn ang="0">
                                <a:pos x="T6" y="T7"/>
                              </a:cxn>
                              <a:cxn ang="0">
                                <a:pos x="T8" y="T9"/>
                              </a:cxn>
                            </a:cxnLst>
                            <a:rect l="0" t="0" r="r" b="b"/>
                            <a:pathLst>
                              <a:path w="574" h="168">
                                <a:moveTo>
                                  <a:pt x="0" y="168"/>
                                </a:moveTo>
                                <a:lnTo>
                                  <a:pt x="142" y="129"/>
                                </a:lnTo>
                                <a:lnTo>
                                  <a:pt x="284" y="84"/>
                                </a:lnTo>
                                <a:lnTo>
                                  <a:pt x="433" y="39"/>
                                </a:lnTo>
                                <a:lnTo>
                                  <a:pt x="574" y="0"/>
                                </a:lnTo>
                              </a:path>
                            </a:pathLst>
                          </a:custGeom>
                          <a:noFill/>
                          <a:ln w="12065">
                            <a:solidFill>
                              <a:srgbClr val="00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45"/>
                        <wps:cNvSpPr>
                          <a:spLocks/>
                        </wps:cNvSpPr>
                        <wps:spPr bwMode="auto">
                          <a:xfrm>
                            <a:off x="4276" y="1981"/>
                            <a:ext cx="574" cy="84"/>
                          </a:xfrm>
                          <a:custGeom>
                            <a:avLst/>
                            <a:gdLst>
                              <a:gd name="T0" fmla="*/ 0 w 574"/>
                              <a:gd name="T1" fmla="*/ 84 h 84"/>
                              <a:gd name="T2" fmla="*/ 142 w 574"/>
                              <a:gd name="T3" fmla="*/ 58 h 84"/>
                              <a:gd name="T4" fmla="*/ 291 w 574"/>
                              <a:gd name="T5" fmla="*/ 32 h 84"/>
                              <a:gd name="T6" fmla="*/ 433 w 574"/>
                              <a:gd name="T7" fmla="*/ 13 h 84"/>
                              <a:gd name="T8" fmla="*/ 574 w 574"/>
                              <a:gd name="T9" fmla="*/ 0 h 84"/>
                            </a:gdLst>
                            <a:ahLst/>
                            <a:cxnLst>
                              <a:cxn ang="0">
                                <a:pos x="T0" y="T1"/>
                              </a:cxn>
                              <a:cxn ang="0">
                                <a:pos x="T2" y="T3"/>
                              </a:cxn>
                              <a:cxn ang="0">
                                <a:pos x="T4" y="T5"/>
                              </a:cxn>
                              <a:cxn ang="0">
                                <a:pos x="T6" y="T7"/>
                              </a:cxn>
                              <a:cxn ang="0">
                                <a:pos x="T8" y="T9"/>
                              </a:cxn>
                            </a:cxnLst>
                            <a:rect l="0" t="0" r="r" b="b"/>
                            <a:pathLst>
                              <a:path w="574" h="84">
                                <a:moveTo>
                                  <a:pt x="0" y="84"/>
                                </a:moveTo>
                                <a:lnTo>
                                  <a:pt x="142" y="58"/>
                                </a:lnTo>
                                <a:lnTo>
                                  <a:pt x="291" y="32"/>
                                </a:lnTo>
                                <a:lnTo>
                                  <a:pt x="433" y="13"/>
                                </a:lnTo>
                                <a:lnTo>
                                  <a:pt x="574" y="0"/>
                                </a:lnTo>
                              </a:path>
                            </a:pathLst>
                          </a:custGeom>
                          <a:noFill/>
                          <a:ln w="12065">
                            <a:solidFill>
                              <a:srgbClr val="00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46"/>
                        <wps:cNvSpPr>
                          <a:spLocks/>
                        </wps:cNvSpPr>
                        <wps:spPr bwMode="auto">
                          <a:xfrm>
                            <a:off x="4850" y="1974"/>
                            <a:ext cx="568" cy="13"/>
                          </a:xfrm>
                          <a:custGeom>
                            <a:avLst/>
                            <a:gdLst>
                              <a:gd name="T0" fmla="*/ 0 w 568"/>
                              <a:gd name="T1" fmla="*/ 7 h 13"/>
                              <a:gd name="T2" fmla="*/ 142 w 568"/>
                              <a:gd name="T3" fmla="*/ 0 h 13"/>
                              <a:gd name="T4" fmla="*/ 284 w 568"/>
                              <a:gd name="T5" fmla="*/ 0 h 13"/>
                              <a:gd name="T6" fmla="*/ 568 w 568"/>
                              <a:gd name="T7" fmla="*/ 13 h 13"/>
                            </a:gdLst>
                            <a:ahLst/>
                            <a:cxnLst>
                              <a:cxn ang="0">
                                <a:pos x="T0" y="T1"/>
                              </a:cxn>
                              <a:cxn ang="0">
                                <a:pos x="T2" y="T3"/>
                              </a:cxn>
                              <a:cxn ang="0">
                                <a:pos x="T4" y="T5"/>
                              </a:cxn>
                              <a:cxn ang="0">
                                <a:pos x="T6" y="T7"/>
                              </a:cxn>
                            </a:cxnLst>
                            <a:rect l="0" t="0" r="r" b="b"/>
                            <a:pathLst>
                              <a:path w="568" h="13">
                                <a:moveTo>
                                  <a:pt x="0" y="7"/>
                                </a:moveTo>
                                <a:lnTo>
                                  <a:pt x="142" y="0"/>
                                </a:lnTo>
                                <a:lnTo>
                                  <a:pt x="284" y="0"/>
                                </a:lnTo>
                                <a:lnTo>
                                  <a:pt x="568" y="13"/>
                                </a:lnTo>
                              </a:path>
                            </a:pathLst>
                          </a:custGeom>
                          <a:noFill/>
                          <a:ln w="12065">
                            <a:solidFill>
                              <a:srgbClr val="00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47"/>
                        <wps:cNvSpPr>
                          <a:spLocks/>
                        </wps:cNvSpPr>
                        <wps:spPr bwMode="auto">
                          <a:xfrm>
                            <a:off x="5418" y="1987"/>
                            <a:ext cx="574" cy="58"/>
                          </a:xfrm>
                          <a:custGeom>
                            <a:avLst/>
                            <a:gdLst>
                              <a:gd name="T0" fmla="*/ 0 w 574"/>
                              <a:gd name="T1" fmla="*/ 0 h 58"/>
                              <a:gd name="T2" fmla="*/ 142 w 574"/>
                              <a:gd name="T3" fmla="*/ 13 h 58"/>
                              <a:gd name="T4" fmla="*/ 284 w 574"/>
                              <a:gd name="T5" fmla="*/ 26 h 58"/>
                              <a:gd name="T6" fmla="*/ 574 w 574"/>
                              <a:gd name="T7" fmla="*/ 58 h 58"/>
                            </a:gdLst>
                            <a:ahLst/>
                            <a:cxnLst>
                              <a:cxn ang="0">
                                <a:pos x="T0" y="T1"/>
                              </a:cxn>
                              <a:cxn ang="0">
                                <a:pos x="T2" y="T3"/>
                              </a:cxn>
                              <a:cxn ang="0">
                                <a:pos x="T4" y="T5"/>
                              </a:cxn>
                              <a:cxn ang="0">
                                <a:pos x="T6" y="T7"/>
                              </a:cxn>
                            </a:cxnLst>
                            <a:rect l="0" t="0" r="r" b="b"/>
                            <a:pathLst>
                              <a:path w="574" h="58">
                                <a:moveTo>
                                  <a:pt x="0" y="0"/>
                                </a:moveTo>
                                <a:lnTo>
                                  <a:pt x="142" y="13"/>
                                </a:lnTo>
                                <a:lnTo>
                                  <a:pt x="284" y="26"/>
                                </a:lnTo>
                                <a:lnTo>
                                  <a:pt x="574" y="58"/>
                                </a:lnTo>
                              </a:path>
                            </a:pathLst>
                          </a:custGeom>
                          <a:noFill/>
                          <a:ln w="12065">
                            <a:solidFill>
                              <a:srgbClr val="0033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48"/>
                        <wps:cNvSpPr>
                          <a:spLocks/>
                        </wps:cNvSpPr>
                        <wps:spPr bwMode="auto">
                          <a:xfrm>
                            <a:off x="845" y="427"/>
                            <a:ext cx="5147" cy="2201"/>
                          </a:xfrm>
                          <a:custGeom>
                            <a:avLst/>
                            <a:gdLst>
                              <a:gd name="T0" fmla="*/ 0 w 798"/>
                              <a:gd name="T1" fmla="*/ 340 h 340"/>
                              <a:gd name="T2" fmla="*/ 89 w 798"/>
                              <a:gd name="T3" fmla="*/ 321 h 340"/>
                              <a:gd name="T4" fmla="*/ 177 w 798"/>
                              <a:gd name="T5" fmla="*/ 305 h 340"/>
                              <a:gd name="T6" fmla="*/ 266 w 798"/>
                              <a:gd name="T7" fmla="*/ 278 h 340"/>
                              <a:gd name="T8" fmla="*/ 355 w 798"/>
                              <a:gd name="T9" fmla="*/ 243 h 340"/>
                              <a:gd name="T10" fmla="*/ 443 w 798"/>
                              <a:gd name="T11" fmla="*/ 188 h 340"/>
                              <a:gd name="T12" fmla="*/ 532 w 798"/>
                              <a:gd name="T13" fmla="*/ 138 h 340"/>
                              <a:gd name="T14" fmla="*/ 621 w 798"/>
                              <a:gd name="T15" fmla="*/ 81 h 340"/>
                              <a:gd name="T16" fmla="*/ 709 w 798"/>
                              <a:gd name="T17" fmla="*/ 32 h 340"/>
                              <a:gd name="T18" fmla="*/ 798 w 798"/>
                              <a:gd name="T19" fmla="*/ 0 h 3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98" h="340">
                                <a:moveTo>
                                  <a:pt x="0" y="340"/>
                                </a:moveTo>
                                <a:lnTo>
                                  <a:pt x="89" y="321"/>
                                </a:lnTo>
                                <a:lnTo>
                                  <a:pt x="177" y="305"/>
                                </a:lnTo>
                                <a:lnTo>
                                  <a:pt x="266" y="278"/>
                                </a:lnTo>
                                <a:lnTo>
                                  <a:pt x="355" y="243"/>
                                </a:lnTo>
                                <a:lnTo>
                                  <a:pt x="443" y="188"/>
                                </a:lnTo>
                                <a:lnTo>
                                  <a:pt x="532" y="138"/>
                                </a:lnTo>
                                <a:lnTo>
                                  <a:pt x="621" y="81"/>
                                </a:lnTo>
                                <a:lnTo>
                                  <a:pt x="709" y="32"/>
                                </a:lnTo>
                                <a:lnTo>
                                  <a:pt x="798" y="0"/>
                                </a:lnTo>
                              </a:path>
                            </a:pathLst>
                          </a:custGeom>
                          <a:noFill/>
                          <a:ln w="12065">
                            <a:solidFill>
                              <a:srgbClr val="3366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Rectangle 49"/>
                        <wps:cNvSpPr>
                          <a:spLocks noChangeArrowheads="1"/>
                        </wps:cNvSpPr>
                        <wps:spPr bwMode="auto">
                          <a:xfrm>
                            <a:off x="6120" y="1621"/>
                            <a:ext cx="344" cy="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65-69</w:t>
                              </w:r>
                            </w:p>
                          </w:txbxContent>
                        </wps:txbx>
                        <wps:bodyPr rot="0" vert="horz" wrap="none" lIns="0" tIns="0" rIns="0" bIns="0" anchor="t" anchorCtr="0" upright="1">
                          <a:spAutoFit/>
                        </wps:bodyPr>
                      </wps:wsp>
                      <wps:wsp>
                        <wps:cNvPr id="64" name="Rectangle 50"/>
                        <wps:cNvSpPr>
                          <a:spLocks noChangeArrowheads="1"/>
                        </wps:cNvSpPr>
                        <wps:spPr bwMode="auto">
                          <a:xfrm>
                            <a:off x="6120" y="181"/>
                            <a:ext cx="224" cy="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80+</w:t>
                              </w:r>
                            </w:p>
                          </w:txbxContent>
                        </wps:txbx>
                        <wps:bodyPr rot="0" vert="horz" wrap="none" lIns="0" tIns="0" rIns="0" bIns="0" anchor="t" anchorCtr="0" upright="1">
                          <a:spAutoFit/>
                        </wps:bodyPr>
                      </wps:wsp>
                      <wps:wsp>
                        <wps:cNvPr id="65" name="Rectangle 51"/>
                        <wps:cNvSpPr>
                          <a:spLocks noChangeArrowheads="1"/>
                        </wps:cNvSpPr>
                        <wps:spPr bwMode="auto">
                          <a:xfrm>
                            <a:off x="6120" y="1981"/>
                            <a:ext cx="344" cy="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70-74</w:t>
                              </w:r>
                            </w:p>
                          </w:txbxContent>
                        </wps:txbx>
                        <wps:bodyPr rot="0" vert="horz" wrap="none" lIns="0" tIns="0" rIns="0" bIns="0" anchor="t" anchorCtr="0" upright="1">
                          <a:spAutoFit/>
                        </wps:bodyPr>
                      </wps:wsp>
                      <wps:wsp>
                        <wps:cNvPr id="66" name="Rectangle 52"/>
                        <wps:cNvSpPr>
                          <a:spLocks noChangeArrowheads="1"/>
                        </wps:cNvSpPr>
                        <wps:spPr bwMode="auto">
                          <a:xfrm>
                            <a:off x="6120" y="1800"/>
                            <a:ext cx="344" cy="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75-79</w:t>
                              </w:r>
                            </w:p>
                          </w:txbxContent>
                        </wps:txbx>
                        <wps:bodyPr rot="0" vert="horz" wrap="none" lIns="0" tIns="0" rIns="0" bIns="0" anchor="t" anchorCtr="0" upright="1">
                          <a:spAutoFit/>
                        </wps:bodyPr>
                      </wps:wsp>
                      <wps:wsp>
                        <wps:cNvPr id="67" name="Rectangle 53"/>
                        <wps:cNvSpPr>
                          <a:spLocks noChangeArrowheads="1"/>
                        </wps:cNvSpPr>
                        <wps:spPr bwMode="auto">
                          <a:xfrm>
                            <a:off x="540" y="3060"/>
                            <a:ext cx="78"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0</w:t>
                              </w:r>
                            </w:p>
                          </w:txbxContent>
                        </wps:txbx>
                        <wps:bodyPr rot="0" vert="horz" wrap="square" lIns="0" tIns="0" rIns="0" bIns="0" anchor="t" anchorCtr="0" upright="1">
                          <a:noAutofit/>
                        </wps:bodyPr>
                      </wps:wsp>
                      <wps:wsp>
                        <wps:cNvPr id="68" name="Rectangle 54"/>
                        <wps:cNvSpPr>
                          <a:spLocks noChangeArrowheads="1"/>
                        </wps:cNvSpPr>
                        <wps:spPr bwMode="auto">
                          <a:xfrm>
                            <a:off x="180" y="2700"/>
                            <a:ext cx="450" cy="3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100000</w:t>
                              </w:r>
                            </w:p>
                          </w:txbxContent>
                        </wps:txbx>
                        <wps:bodyPr rot="0" vert="horz" wrap="none" lIns="0" tIns="0" rIns="0" bIns="0" anchor="t" anchorCtr="0" upright="1">
                          <a:noAutofit/>
                        </wps:bodyPr>
                      </wps:wsp>
                      <wps:wsp>
                        <wps:cNvPr id="69" name="Rectangle 55"/>
                        <wps:cNvSpPr>
                          <a:spLocks noChangeArrowheads="1"/>
                        </wps:cNvSpPr>
                        <wps:spPr bwMode="auto">
                          <a:xfrm>
                            <a:off x="180" y="2160"/>
                            <a:ext cx="450" cy="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200000</w:t>
                              </w:r>
                            </w:p>
                          </w:txbxContent>
                        </wps:txbx>
                        <wps:bodyPr rot="0" vert="horz" wrap="none" lIns="0" tIns="0" rIns="0" bIns="0" anchor="t" anchorCtr="0" upright="1">
                          <a:noAutofit/>
                        </wps:bodyPr>
                      </wps:wsp>
                      <wps:wsp>
                        <wps:cNvPr id="70" name="Rectangle 56"/>
                        <wps:cNvSpPr>
                          <a:spLocks noChangeArrowheads="1"/>
                        </wps:cNvSpPr>
                        <wps:spPr bwMode="auto">
                          <a:xfrm>
                            <a:off x="180" y="1621"/>
                            <a:ext cx="4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300000</w:t>
                              </w:r>
                            </w:p>
                          </w:txbxContent>
                        </wps:txbx>
                        <wps:bodyPr rot="0" vert="horz" wrap="none" lIns="0" tIns="0" rIns="0" bIns="0" anchor="t" anchorCtr="0" upright="1">
                          <a:noAutofit/>
                        </wps:bodyPr>
                      </wps:wsp>
                      <wps:wsp>
                        <wps:cNvPr id="71" name="Rectangle 57"/>
                        <wps:cNvSpPr>
                          <a:spLocks noChangeArrowheads="1"/>
                        </wps:cNvSpPr>
                        <wps:spPr bwMode="auto">
                          <a:xfrm>
                            <a:off x="180" y="1080"/>
                            <a:ext cx="450" cy="4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400000</w:t>
                              </w:r>
                            </w:p>
                          </w:txbxContent>
                        </wps:txbx>
                        <wps:bodyPr rot="0" vert="horz" wrap="none" lIns="0" tIns="0" rIns="0" bIns="0" anchor="t" anchorCtr="0" upright="1">
                          <a:noAutofit/>
                        </wps:bodyPr>
                      </wps:wsp>
                      <wps:wsp>
                        <wps:cNvPr id="72" name="Rectangle 58"/>
                        <wps:cNvSpPr>
                          <a:spLocks noChangeArrowheads="1"/>
                        </wps:cNvSpPr>
                        <wps:spPr bwMode="auto">
                          <a:xfrm>
                            <a:off x="180" y="541"/>
                            <a:ext cx="45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500000</w:t>
                              </w:r>
                            </w:p>
                          </w:txbxContent>
                        </wps:txbx>
                        <wps:bodyPr rot="0" vert="horz" wrap="none" lIns="0" tIns="0" rIns="0" bIns="0" anchor="t" anchorCtr="0" upright="1">
                          <a:noAutofit/>
                        </wps:bodyPr>
                      </wps:wsp>
                      <wps:wsp>
                        <wps:cNvPr id="73" name="Rectangle 59"/>
                        <wps:cNvSpPr>
                          <a:spLocks noChangeArrowheads="1"/>
                        </wps:cNvSpPr>
                        <wps:spPr bwMode="auto">
                          <a:xfrm>
                            <a:off x="180" y="0"/>
                            <a:ext cx="450" cy="3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600000</w:t>
                              </w:r>
                            </w:p>
                          </w:txbxContent>
                        </wps:txbx>
                        <wps:bodyPr rot="0" vert="horz" wrap="none" lIns="0" tIns="0" rIns="0" bIns="0" anchor="t" anchorCtr="0" upright="1">
                          <a:noAutofit/>
                        </wps:bodyPr>
                      </wps:wsp>
                      <wps:wsp>
                        <wps:cNvPr id="74" name="Rectangle 60"/>
                        <wps:cNvSpPr>
                          <a:spLocks noChangeArrowheads="1"/>
                        </wps:cNvSpPr>
                        <wps:spPr bwMode="auto">
                          <a:xfrm>
                            <a:off x="690" y="3443"/>
                            <a:ext cx="300" cy="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2006</w:t>
                              </w:r>
                            </w:p>
                          </w:txbxContent>
                        </wps:txbx>
                        <wps:bodyPr rot="0" vert="horz" wrap="none" lIns="0" tIns="0" rIns="0" bIns="0" anchor="t" anchorCtr="0" upright="1">
                          <a:spAutoFit/>
                        </wps:bodyPr>
                      </wps:wsp>
                      <wps:wsp>
                        <wps:cNvPr id="75" name="Rectangle 61"/>
                        <wps:cNvSpPr>
                          <a:spLocks noChangeArrowheads="1"/>
                        </wps:cNvSpPr>
                        <wps:spPr bwMode="auto">
                          <a:xfrm>
                            <a:off x="1264" y="3443"/>
                            <a:ext cx="300" cy="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2011</w:t>
                              </w:r>
                            </w:p>
                          </w:txbxContent>
                        </wps:txbx>
                        <wps:bodyPr rot="0" vert="horz" wrap="none" lIns="0" tIns="0" rIns="0" bIns="0" anchor="t" anchorCtr="0" upright="1">
                          <a:spAutoFit/>
                        </wps:bodyPr>
                      </wps:wsp>
                      <wps:wsp>
                        <wps:cNvPr id="76" name="Rectangle 62"/>
                        <wps:cNvSpPr>
                          <a:spLocks noChangeArrowheads="1"/>
                        </wps:cNvSpPr>
                        <wps:spPr bwMode="auto">
                          <a:xfrm>
                            <a:off x="1832" y="3443"/>
                            <a:ext cx="300" cy="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2016</w:t>
                              </w:r>
                            </w:p>
                          </w:txbxContent>
                        </wps:txbx>
                        <wps:bodyPr rot="0" vert="horz" wrap="none" lIns="0" tIns="0" rIns="0" bIns="0" anchor="t" anchorCtr="0" upright="1">
                          <a:spAutoFit/>
                        </wps:bodyPr>
                      </wps:wsp>
                      <wps:wsp>
                        <wps:cNvPr id="77" name="Rectangle 63"/>
                        <wps:cNvSpPr>
                          <a:spLocks noChangeArrowheads="1"/>
                        </wps:cNvSpPr>
                        <wps:spPr bwMode="auto">
                          <a:xfrm>
                            <a:off x="2406" y="3443"/>
                            <a:ext cx="300" cy="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2021</w:t>
                              </w:r>
                            </w:p>
                          </w:txbxContent>
                        </wps:txbx>
                        <wps:bodyPr rot="0" vert="horz" wrap="none" lIns="0" tIns="0" rIns="0" bIns="0" anchor="t" anchorCtr="0" upright="1">
                          <a:spAutoFit/>
                        </wps:bodyPr>
                      </wps:wsp>
                      <wps:wsp>
                        <wps:cNvPr id="78" name="Rectangle 64"/>
                        <wps:cNvSpPr>
                          <a:spLocks noChangeArrowheads="1"/>
                        </wps:cNvSpPr>
                        <wps:spPr bwMode="auto">
                          <a:xfrm>
                            <a:off x="2980" y="3443"/>
                            <a:ext cx="300" cy="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2026</w:t>
                              </w:r>
                            </w:p>
                          </w:txbxContent>
                        </wps:txbx>
                        <wps:bodyPr rot="0" vert="horz" wrap="none" lIns="0" tIns="0" rIns="0" bIns="0" anchor="t" anchorCtr="0" upright="1">
                          <a:spAutoFit/>
                        </wps:bodyPr>
                      </wps:wsp>
                      <wps:wsp>
                        <wps:cNvPr id="79" name="Rectangle 65"/>
                        <wps:cNvSpPr>
                          <a:spLocks noChangeArrowheads="1"/>
                        </wps:cNvSpPr>
                        <wps:spPr bwMode="auto">
                          <a:xfrm>
                            <a:off x="3548" y="3443"/>
                            <a:ext cx="300" cy="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2031</w:t>
                              </w:r>
                            </w:p>
                          </w:txbxContent>
                        </wps:txbx>
                        <wps:bodyPr rot="0" vert="horz" wrap="none" lIns="0" tIns="0" rIns="0" bIns="0" anchor="t" anchorCtr="0" upright="1">
                          <a:spAutoFit/>
                        </wps:bodyPr>
                      </wps:wsp>
                      <wps:wsp>
                        <wps:cNvPr id="80" name="Rectangle 66"/>
                        <wps:cNvSpPr>
                          <a:spLocks noChangeArrowheads="1"/>
                        </wps:cNvSpPr>
                        <wps:spPr bwMode="auto">
                          <a:xfrm>
                            <a:off x="4122" y="3443"/>
                            <a:ext cx="300" cy="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2036</w:t>
                              </w:r>
                            </w:p>
                          </w:txbxContent>
                        </wps:txbx>
                        <wps:bodyPr rot="0" vert="horz" wrap="none" lIns="0" tIns="0" rIns="0" bIns="0" anchor="t" anchorCtr="0" upright="1">
                          <a:spAutoFit/>
                        </wps:bodyPr>
                      </wps:wsp>
                      <wps:wsp>
                        <wps:cNvPr id="81" name="Rectangle 67"/>
                        <wps:cNvSpPr>
                          <a:spLocks noChangeArrowheads="1"/>
                        </wps:cNvSpPr>
                        <wps:spPr bwMode="auto">
                          <a:xfrm>
                            <a:off x="4696" y="3443"/>
                            <a:ext cx="299" cy="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2041</w:t>
                              </w:r>
                            </w:p>
                          </w:txbxContent>
                        </wps:txbx>
                        <wps:bodyPr rot="0" vert="horz" wrap="none" lIns="0" tIns="0" rIns="0" bIns="0" anchor="t" anchorCtr="0" upright="1">
                          <a:spAutoFit/>
                        </wps:bodyPr>
                      </wps:wsp>
                      <wps:wsp>
                        <wps:cNvPr id="82" name="Rectangle 68"/>
                        <wps:cNvSpPr>
                          <a:spLocks noChangeArrowheads="1"/>
                        </wps:cNvSpPr>
                        <wps:spPr bwMode="auto">
                          <a:xfrm>
                            <a:off x="5263" y="3443"/>
                            <a:ext cx="299" cy="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2046</w:t>
                              </w:r>
                            </w:p>
                          </w:txbxContent>
                        </wps:txbx>
                        <wps:bodyPr rot="0" vert="horz" wrap="none" lIns="0" tIns="0" rIns="0" bIns="0" anchor="t" anchorCtr="0" upright="1">
                          <a:spAutoFit/>
                        </wps:bodyPr>
                      </wps:wsp>
                      <wps:wsp>
                        <wps:cNvPr id="83" name="Rectangle 69"/>
                        <wps:cNvSpPr>
                          <a:spLocks noChangeArrowheads="1"/>
                        </wps:cNvSpPr>
                        <wps:spPr bwMode="auto">
                          <a:xfrm>
                            <a:off x="5837" y="3443"/>
                            <a:ext cx="300" cy="2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222F" w:rsidRDefault="006E222F" w:rsidP="00BE36AE">
                              <w:r>
                                <w:rPr>
                                  <w:color w:val="000000"/>
                                  <w:sz w:val="14"/>
                                  <w:szCs w:val="14"/>
                                </w:rPr>
                                <w:t>2051</w:t>
                              </w:r>
                            </w:p>
                          </w:txbxContent>
                        </wps:txbx>
                        <wps:bodyPr rot="0" vert="horz" wrap="none" lIns="0" tIns="0" rIns="0" bIns="0" anchor="t" anchorCtr="0" upright="1">
                          <a:spAutoFit/>
                        </wps:bodyPr>
                      </wps:wsp>
                    </wpg:wgp>
                  </a:graphicData>
                </a:graphic>
              </wp:inline>
            </w:drawing>
          </mc:Choice>
          <mc:Fallback>
            <w:pict>
              <v:group id="Group 5" o:spid="_x0000_s1027" style="width:344.85pt;height:166.35pt;mso-position-horizontal-relative:char;mso-position-vertical-relative:line" coordsize="6650,4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Y7WyRcAAMElAQAOAAAAZHJzL2Uyb0RvYy54bWzsXVtv48ixfj9A/gOhxwAeixddaKw3mPiy&#10;CLBJFlmf805LtCUcWVQoeTSTIP89X1WzW011k5QtiSOP2g+WbLWKze7q+urOn/709WXmfUnz5TSb&#10;X3f8T92Ol85H2Xg6f77u/O/D/cWw4y1XyXyczLJ5et35li47f/r5D//z03pxlQbZJJuN09wDkfny&#10;ar247kxWq8XV5eVyNElfkuWnbJHO8eFTlr8kK/yZP1+O82QN6i+zy6Db7V+us3y8yLNRulziv7fi&#10;w87PTP/pKR2t/v70tExX3uy6g7mt+HfOvx/p9+XPPyVXz3mymExHxTSSd8ziJZnOcVFF6jZZJd5r&#10;PjVIvUxHebbMnlafRtnLZfb0NB2lfA+4G7+7dTe/5Nnrgu/l+Wr9vFDLhKXdWqd3kx397ctvuTcd&#10;X3d6HW+evGCL+Kpej5ZmvXi+wohf8sXvi99ycX94+2s2+v+lN89uJsn8Of28XGCZsfn0jcvtr9Df&#10;z+L73uP6r9kYV0heVxmv1ten/IWoYh28r7wp39SmpF9X3gj/jMJB3IsxuxE+C3w/6Ec8t+RqNMHe&#10;Gt8bTe6Kb/b7PWw5fS3yByHPLrkSl+RpFtOi2wTzLTfru9xvfX+fJIuUt21Jq1esb1+u72fcPQ/x&#10;eE50cYySC7ysXN3Ngud5tp6kyRjz9EE1e8Ba3Y2n2h5oJIn+Erv3vtWvWcPkapEvV7+k2YtHb647&#10;OdiAtzX58utyRcywGUK7PM/up7MZnzhMGEPon7TNfFD+HXfju+HdMLqIgv7dRdS9vb34fH8TXfTv&#10;/UHvNry9ubn1/0P0/ehqMh2P0zmRk4fWj3bbtEJ8iOOmju0ym03HRI6mtMyfH29mufclgdC455+C&#10;ebRhl+Vp8M3iXuQr3x24TKy9YLHHbPwN+5BnWCswJqQm3kyy/F8dbw0JdN1Z/vM1ydOON/vLHFsb&#10;+1FEIov/iHqDAH/k+ieP+ifJfARS151VxxNvb1ZCzL0u8unzBFfyeW/mGfHf05T3h+YnZsUnl09B&#10;S8dhII/Dr9N56kVC2jDb3sx/y1n27Mi3Q8gDj2TDIC7kOfEUiY6eH+EyJAD4A7CjFDhbnDvDHHbk&#10;3NncWxM9ZpRKrunyj8k14kDcJsuJ4K7lt+VttqJxyRWE/XzM7+hs3xXvV8l0Jt5j+rM5DTy1w6PO&#10;9bvPBO6azwqEcEvsB7VEoB2zXwF2+7FfMBiKjXTs16rs/ojs50cl/usT4xSKwHvFnz/oO/H3PXSH&#10;j8h/AemNrO2z/Bscgv+CiPVZodI5+G1Nd/2Q/BeU+I+Bc0/5NwjZAHXs17Lp9CHZLyyxX3wA8RcA&#10;0ll5d9qf0/6UP9LuCgrK2p/Petue4s/gv8L1FXbjsutr45Mp3DYtGr/OxCU/Y0smbqA8uqzj+QyP&#10;7+WyLtgJfpQw7LKuuEFZcr6clofFMVmbTKbc2oLJgn2gtGAy05HnmOxgnu4Pqa6VncW+Hjd5s7tE&#10;MpnhrnNMdt5MVnYJC3V+T7g0fXKOyc6byeKS4envFXgoJJlvON4ck501k4XQ1TXnrr9XdKFgMsO7&#10;5njsvHmsHEDw94ogSJVs24XmeOy8eawcJPAPESUwHRinmCTiXBgtujDCcjDAf3M0wHuaTRf/JxOs&#10;ilxGmZVkMlzhmI0Ylk8iJ8mxW5vsVnb+I6vvjbkfVnbzI/Ct3UPr+O28UbQcBkDmx0H4LR7CKWeN&#10;CDh+O29+K0cEgjdHBKzyLej1YXE4fjtuGvxHDA6E5eBA8ObggJXfQj8UWeVOfzti2cWH5LdynAC5&#10;HIfA03DQhbXr5JuTbyoRvKgbC8shA2R1HILfomAAnHb85vhtm9+o5kyLHgRvjh5Y8TQaUi2m4zfH&#10;bwa/lSMJwZsjCVZ+60VwFzt+O3LZ7EfU36JyVCF4c1TBzm9x7PS3o5dpf0h+U+GF+zxNqZOFF+gh&#10;hq3Cfyh3XAqrWgJQCtJO9fsy4uAPhozZmxzdTYhrIKIbWtRh9Cpq+KmwWNbto43FuCjPfx4XysAD&#10;4PvpZYbmGH+89Lre2hvERbnrZggkuRri+7438fCb1FUiKOngmKhBw9hOCEumxsSBnQ7c6GqMPxjY&#10;CcGGV4N6oZ0Q9GA1Juj37YTgZFCDoooZAXDUmLDXsxOCNq8G+RUzQkHAZlAUhXZKWNrNqK793nx9&#10;tXthUEFJX++Km6OKVTXxfuBXUNIX3I8qJqWv+KBbwQNIKdhcMKi6P33NwZEVs9IXXaOEY6AYPZmI&#10;nhVoK/J1XjA/3qGZArqtiHL/RbakbiN0EqDIPjBngwRGEYdXDBao8CBrMOoHY42JMpt4jZSF/fbA&#10;+lLjYKEMPbDgaRxM/Md3uNstEpPx8N1ukjiJh+92m0hfEsN3u9FC7XtQgo5XXNxysa05+pRs9wPK&#10;Ox76AT0KYbVIVsQNtKv0lho+kLTzJojx4tTR/1+yL+lDxiNWmxY0hbjD1Tafz+b6uKGI0kFZIEFP&#10;HR3Ep/J1wdQgz/ime3JF5cfyVQyDtOJhUGnqqEEW8TCRN115UQgaHiZ7ZchryVdxTQgRHlV/SQgI&#10;cUn2jlVeEodfEKu/Ji8+WKY8ClRpd3gZ1Y7hnzqiKYWBVpr20Q+6/V5D844wjGOsrFhSreXLB27R&#10;UboL19+mhXZPEaSc5kZBTib46S3p5FYzQ+p4CIexaNB0vAEuSIVYvoiA4CAcqtnNLmcmjm9ukMb3&#10;I50ZJTs+UFsbypgUXKeMDVEWX3DewYwNlW8SUJMqbLvGiX1ApZ0TddH8JmOjB5p8kY0doWu/4HlS&#10;NQXnVxkbPvT2tWehpGu/8cBOCIdLab/BMLIT0pXfAZs/5ox03ReNzuyEdNU3jO0z0jVf3JSdkKH4&#10;KuFwzoovKQlKyX+PNkhMxNoglrNGG1SLXaUNgiVZ/4mlbit1Lfla6HlDoTIPpD4uP5avYhjYiakh&#10;YiTksPxYvhYaHE2+PW3qB0QGp0213a4NybIGrrEFcnBck3ltAfqxbuGa1LACdcCkhvV+XAPNGlzD&#10;lSD8i+tV4RqQBrBmEtJhLWBXk4WQjmsFQJqUdFzzhwRsFko6sAVD8llZ5qQDm+/37ZR0ZIvYZ2Wh&#10;pCNbr2JKJT9ar1sxp5IfDYhsvbuyI23ACoC5ULCwN2oCOZqKdQLgnDPeVjrHDuJo2h/NsZGE5rRZ&#10;1Wi+2coqNAc8E67irNXirwR9nKTacThETA/npHYcjgiP69WTA/+L6dVTo6PmtAPXS/gj9RKmLr/b&#10;Vi+fwUNrByoLOVC2pmr3ReeGrF7RBVZzvxxLORgMATCy5+zGLoYwUJbqLqpBz07mzYpBjwJH5nRK&#10;akFMgUMLmOtqAQDfRufNSoFPqpM5n3foBKw7WSjpK42bst+aoRIIQk4jsMfWTksjwF5VKwRqIxv0&#10;gR67rrDh0gyXr8Icl+pArz6iEqC5OeEywL7OuJfKgAp/yYvJ18IHUCgDDaqKUwau0ObfKQMfShkA&#10;UmwrA3qO/sFc4KpExI+jwjutlIE+EI1d4AMZ5N7fVQCaNa4CPCMDeIff24N0lCosfJOSbrf6IdnA&#10;Fkq6SiB94MacdF9BzD5wc0q6ThAFlCjTM6dU0gnYB24S0pUCkLAT0j0FnPyh9uScbfL9rWbiccqI&#10;wHJWg2TBRrhaFUpK/APb1SIbOI4BMK43c8FPAiebnOCYvXOC7/QcKffInNN4ZE4ESbaNbCzuD23m&#10;qmI0fyiUVy24K81c8awdnOv9gQ0ka4ANNuPEk0/2sZu5BayZdHRYYzvXpGMBNZOODmpsn5p0SpgW&#10;VriadUxjq9KkU4K0KqNyG9IEGWyGQ7Q9cvzY2gGiYTWrAU0tdROeNZh9Es4a7bnCCVzvU3aGmjPU&#10;PtoT4KggcBvOWAU8NJypWlfAWWVMV+auHRvOKL9I9PypiufuhGYcXCwSrzagWAIzWF9WZ6sOZnYy&#10;78My867ejGWc5i/oODDbM0WJFDUKataBmUw7asIyeTikE1G+CmdiAJPMtKU2/k4xKqI+a7C4dnQ5&#10;Ki4Q1wI7HCfZ26Un4Zmn785wdQ8zFc9OxgHYhjI+WweHMllG7w9FMqBmmcm0W5UluD+U1WfdEnjI&#10;WWwwyOZvNJJ3dcPM54BfAcwbOiUs2yXjVgQODTolMNsl4Zazicz7KoHZLvm2nAGsNsNZZvtYZkW+&#10;LVaz2jKTINUEZkjlqoug7WqYFcm2TVk3RbKt4gMHZ+lLsvxkfWC9czSehqMRoWgDzliEHxrOVJcO&#10;hND4VGpwRvorhdCUg2R/ODMde3oRCcGZuFiVZVYEvUwyJTijWJVJR4ezymQR3TRjOFM3f/rwAQ39&#10;MBYL7vn9Ql5K76b8B+IunbmcWHZiOb9Z5VRk7L0u8unzZAVblTlxnp2IWIaY2bYyjtpJBD3iitCM&#10;SmyQUllZ8ceWypyLUNS6bowDi5FRL5XtZHShjASrZn+Z6NhhTKdkY0BwW/1uRvBHrKEONiUbY9fg&#10;j9qK08eIykIALCCk8R69LA6GPljNavSRGQpNJoYcJ/1k8lX6y0Qqn9o4+bF8lQ4zcPnuDjNp/ggi&#10;R/OXdbvoiCuvVSqE+7BPESjdhWuO0EJzhB4E7xaSiSryQxsYmzL1frQd+pH+MrNhwvsz9usdZj90&#10;mTp58VRVxAapS5C2i9uMzLDNljhMO4DbjJazGtQ2i90EawcuU6/3w3GNPeBPYo3DNWehnbyFBgfO&#10;Nq4x7Bwc11SZek/0d7E4znzU0ghH97FtNFyJhLa4nm7PvNlMQ5zHSqhkqFUVl+veM872s8zozZYa&#10;u+EshEq4trOpprbE4do+uEZeCEo9x3LW4Jpa7CZcQ2Z5fURIZC40ZPTJ0ivls5XmnHwVZl3LqXrO&#10;XnP5DaM8W2ZPq0+j7OUSjyecjtLLdZaPL9HipMvvFnk2SpfL6fz590mySHGoCsAqnkHRg9jcxjXW&#10;3g6Na5sC61B2DjZcj+jM0hKu4UqAo+J6Vbi2S401wlt2QjquVeb96bjmw4SyTkkHtkpXZskFyaBt&#10;uTkd2XZqvxJR5ZmFEOTvphR9t/YrXLRtI6VrEpXhMzjUNhfUtg7OsHPG20qvK20QuV3FURMuVMJT&#10;xPFsfY/tfX4P5nmlba9G84IpcLUqNEeKBbtL43o0V/VmwlcDghKf5euWl1apEfJz+Vp206L1Yp0S&#10;Iduv7BiYlCJOXAuTPE72o9MOnHawv3YAWNnWDo7SfkVVXAcBkolx2jSrl6pRD9x+xaxJ1tNFdm6/&#10;YpLRYapP4Gk2F7EoBiYdXTHYpf1KkUVp1GzragF3nDPnU1IKqkq29bK0XdqvRLHof2pMqNSSbaf2&#10;K1XF34ZKoLp2OI3A8miDE9EI6DDDvsdeVSsEaiMb9AG0e6/DZakONLVfKarPVetHqQTI10IZKKrP&#10;G1AejL9TaJfWwbnAXZE60pJWHajko0l28i5wIMW2MsAK+aFdBapInZ/oUFYGVJaS0vGP7gJnuxzW&#10;uVBLNvFP3XCttPB1hcAPuNmJSUlXCSozUXWVQDjTTUK6qwBVWc3ZSqIFuUlIVwoqjXJdKeAwgaAD&#10;k+acERi3f5hsWWK5apAsGBJXq0JJiX9gu1qclIm1Db5yWeXXgJPOCe7q1T9cvbrZfkX4fA6NbJt6&#10;9Vi0CNbMXIls6hgeG9gYRMTVqjzgO8EaB2RNOiVQ26VineOxJp03YxpblSadd0GaIOMQ7TCIhtWs&#10;BjS11E141hCslTXrDcFaCWcNqboOzhycfTQ46yP4s22oHaf9iqpZj2WNhorpQnkVfTLZnQsJuj+c&#10;mWZKyWsLb6s4zA1oZpLRjTQ2ZIwykBKYFc5WwyDULTQ7GR3LKp/spPtstaqUHw+EcEd74goxGWUL&#10;1SXBHqgTCuDJdNhtIoxFBhBNyCzswI26IJ+RqOJqwk+j+LAPKboNF0dpcaLVhA+LwJCCC2n9KOVu&#10;f7iQkLTx2OlwQQJaXKwBLkwyOlywgDbpWPDCpKPjBT+dyKRTAoyqXFQdMNgYU4v4g/nh9gcMYjMA&#10;Bhao2hCRCRpNdkiD5SDdaugmUhelkgaG2jOXF+KqIU49FNRH7GMbMo7SRkQ+FRmOMxF+UYDh06OB&#10;KC0E6WNciAHhsDdm0OPIOd5kx4wwItTA7+1BeihoGCPsYiGko0YYUP98CyEdN/CoeDslHTfCLmWZ&#10;WCjpyIGnydsp6cgRcNqLhZLuOMMD5+2U9FhQENEzey2USmmjeCi9nVQ5RWRIWbE2Wvqa49H1FbT0&#10;VffDKlr6suMB9xW09HXnZyXapqWv+6BbwQu+vvDs97SR0hceDFUxK33lNfbEcfjB0L8ye1XYXA8y&#10;ygWbksAdL9ZU10NkxlZTBydx3q1MTWmYDLiFh0sjtWF4cacqB4WH760VkbAirYh4sFotKjgUV6tS&#10;jIZgRdwNhFutxgO5JsZ15SLJTBv5WqTp9sXqQDDV0oNMYnoQO7XjIHB4nD+spwdhIsaF9eMgKHhc&#10;w8MeIQR4WIM/mjcBqye1zyOrgWHY79/fF+tVapPgmj1Q19QrKBpcx3ZJMcDl4rdcVM48ZuNvKJ3J&#10;M/QQgiT5kuZ4g9ydf3W8dZ4srjvLf74medrxZn+ZL9Fw3o9wqLwV/xH1BkiE93L9k0f9kw/naMaB&#10;EmrgP9LRCkmHs9TDoyygQdkDp948u5lgWPo5z7P1JE3GWCIhLEpfkEvuPa7/mo3T607yuspYNEkN&#10;D7VO3tfrTt+nBcWp8ekwljKFwgiimPVDJWbklxf5cvVLmr149Oa6Q4+JZ+LJF+y4sNXkEBKH8+x+&#10;Opsx8Rkji/oH2ET8RzKLCOe+5tPrzr/jbnw3vBtGF3h4+91F1L29vfh8fxNd9O/x5Jzb8Pbm5tb/&#10;D13Xj64m0/E4ndNlvK8vs/nyhGIupVvyg6j75yC+uO8PBxfRfdS7iAfd4UXXj/8c97tRHN3el2/p&#10;1+k83f+WvDVOUg8JmLQdJWFV6unS5R+bTHuZrtLcm01frjtDNSi5Ig68m495a1fJdCbeay2TafpS&#10;GshXm1RYfX38yu2CmQmJfRvlxDybKymhJISSDngjJAPe7CoVlgvyJ95PmYU3c8C86Y/1ciGOJd4U&#10;O4J/7/YAvLeVFKKzmCEV8EQArDLNY/S3L1vPaTuiVNhOsggCJxRmqIvBKcqfH29mufclmV137vnH&#10;PDjaSSDZJE8AfZ/s8ELOOaFgVxWUUFD1tOcsFKCjb6sKosFy60LBSL1yqoI43U4qQLC1piqwsUrM&#10;f85SARa+IRWUuGxXVRCtDwWyjWBbaFJBRnCcAeF0hSMbEKqg5pylAvyDhlRQ4rIFqdAjnw15MrtI&#10;pWPrUIad4Ipkp0IkDBo4AJxMcDLhyDKB3eQ7aQpl5yOYWDge8UY4HfHmzW6FU+mRTql1hlRQ4rIF&#10;qeAPhVQIBtuqAkkDFguheNaFEwvOrXB8X6NK6f4OqsLJCAXE1gyhoORlm0LB31YVNkJBJYo5XcHp&#10;CkfWFVTi7hkLhQHQ2BAKSlq2KBTMqORGKAhx4TQFpykcX1PgPJadDIjDRyVPRVOgHoKGUFDSsk2h&#10;0IUdUXIqKKEQRTLjyGkKTlM4sqag8nTOWVNQeeybBCZRiNFSVFL6FFAaVSETQqcouEyF1tKXVJrO&#10;OQsFS1ZjT0nLFjWFKjUhFFUqznZwtsPxbQfRQfzcjQdLSqPA5Zb0hH4sYg9ISih6U8iIJD2yschz&#10;dmkKLqWxrTxnlaTzHRSFU0l0HlhyGtFMob1EZz+gXGtKVHBiAc+7eUmm84YSAZfpfNzyB5Wlc85i&#10;wZLUiIL5FsXCsKhgdGKBHoPlxALOPLEfDMZS8VRrqc6+StM5Z7FgyWrsK3nZglsBtXuioNqJBScW&#10;OqwHfGexoBJ1zlksWNIaodW3py0EcZHX6MSCEwsnIRZUqs45iwVLYqN43lFLHsewh2QE51uYP4tn&#10;6Toj4rsbESpZ54zFAkH1dhYT2iS1py1EfiC6IzltwWkLJ6EtfM/kxlOJRKDPiSkWlLxswbcQ9Yvn&#10;HppiIYihyohGTC5A6QKUbQUoVcLOOWsLlvRG8fSLloyIXgAPp92IcGLBNV0ZyyVoLRKBdoGFrnzO&#10;YsGS4NhX8rIFbaE3DIsWsC5vwQUoTyASIZqHfqckxx2MCHRwfL5aP6ODI2K4z+gzO5mObpNVov+N&#10;9+vFVRpkk2w2TvOf/ysAAAAA//8DAFBLAwQUAAYACAAAACEAnnN5IN4AAAAFAQAADwAAAGRycy9k&#10;b3ducmV2LnhtbEyPzWrDMBCE74W+g9hCb43smObHsRxCaHsKhSSF0tvG2tgm1spYiu28fdVe2svC&#10;MMPMt9l6NI3oqXO1ZQXxJAJBXFhdc6ng4/j6tADhPLLGxjIpuJGDdX5/l2Gq7cB76g++FKGEXYoK&#10;Ku/bVEpXVGTQTWxLHLyz7Qz6ILtS6g6HUG4aOY2imTRYc1iosKVtRcXlcDUK3gYcNkn80u8u5+3t&#10;6/j8/rmLSanHh3GzAuFp9H9h+MEP6JAHppO9snaiURAe8b83eLPFcg7ipCBJpnOQeSb/0+ffAAAA&#10;//8DAFBLAQItABQABgAIAAAAIQC2gziS/gAAAOEBAAATAAAAAAAAAAAAAAAAAAAAAABbQ29udGVu&#10;dF9UeXBlc10ueG1sUEsBAi0AFAAGAAgAAAAhADj9If/WAAAAlAEAAAsAAAAAAAAAAAAAAAAALwEA&#10;AF9yZWxzLy5yZWxzUEsBAi0AFAAGAAgAAAAhAIoRjtbJFwAAwSUBAA4AAAAAAAAAAAAAAAAALgIA&#10;AGRycy9lMm9Eb2MueG1sUEsBAi0AFAAGAAgAAAAhAJ5zeSDeAAAABQEAAA8AAAAAAAAAAAAAAAAA&#10;IxoAAGRycy9kb3ducmV2LnhtbFBLBQYAAAAABAAEAPMAAAAuGwAAAAA=&#10;">
                <o:lock v:ext="edit" aspectratio="t"/>
                <v:rect id="AutoShape 3" o:spid="_x0000_s1028" style="position:absolute;width:6650;height:4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p7asMA&#10;AADaAAAADwAAAGRycy9kb3ducmV2LnhtbESPT4vCMBTE7wt+h/AEL4um60GkGkUE2bIsiPXP+dE8&#10;22LzUpts2/32RhA8DjPzG2a57k0lWmpcaVnB1yQCQZxZXXKu4HTcjecgnEfWWFkmBf/kYL0afCwx&#10;1rbjA7Wpz0WAsItRQeF9HUvpsoIMuomtiYN3tY1BH2STS91gF+CmktMomkmDJYeFAmvaFpTd0j+j&#10;oMv27eX4+y33n5fE8j25b9Pzj1KjYb9ZgPDU+3f41U60ghk8r4Qb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p7asMAAADaAAAADwAAAAAAAAAAAAAAAACYAgAAZHJzL2Rv&#10;d25yZXYueG1sUEsFBgAAAAAEAAQA9QAAAIgDAAAAAA==&#10;" filled="f" stroked="f">
                  <o:lock v:ext="edit" aspectratio="t" text="t"/>
                </v:rect>
                <v:line id="Line 4" o:spid="_x0000_s1029" style="position:absolute;visibility:visible;mso-wrap-style:square" from="845,2790" to="5992,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Mg6MUAAADaAAAADwAAAGRycy9kb3ducmV2LnhtbESPS2vDMBCE74X+B7GF3mq5gTxwI5s2&#10;Ia9j0kLpbWttbFNr5Viq4+TXR4FAjsPMfMNMs97UoqPWVZYVvEYxCOLc6ooLBV+fi5cJCOeRNdaW&#10;ScGJHGTp48MUE22PvKVu5wsRIOwSVFB63yRSurwkgy6yDXHw9rY16INsC6lbPAa4qeUgjkfSYMVh&#10;ocSGZiXlf7t/o6Cbb1bD74/1fD86N4ffqvhZ2s1Qqeen/v0NhKfe38O39lorGMP1SrgBMr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hMg6MUAAADaAAAADwAAAAAAAAAA&#10;AAAAAAChAgAAZHJzL2Rvd25yZXYueG1sUEsFBgAAAAAEAAQA+QAAAJMDAAAAAA==&#10;" strokeweight="0">
                  <v:stroke dashstyle="1 1"/>
                </v:line>
                <v:line id="Line 5" o:spid="_x0000_s1030" style="position:absolute;visibility:visible;mso-wrap-style:square" from="845,2278" to="5992,2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y0msIAAADaAAAADwAAAGRycy9kb3ducmV2LnhtbERPTWvCQBC9C/0PyxR6M5sWDJJmI23F&#10;Vo9VoXgbs2MSmp2N2W0S/fXdg+Dx8b6zxWga0VPnassKnqMYBHFhdc2lgv1uNZ2DcB5ZY2OZFFzI&#10;wSJ/mGSYajvwN/VbX4oQwi5FBZX3bSqlKyoy6CLbEgfuZDuDPsCulLrDIYSbRr7EcSIN1hwaKmzp&#10;o6Lid/tnFPTLzdfs5329PCXX9nysy8On3cyUenoc315BeBr9XXxzr7WCsDVcCTdA5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4y0msIAAADaAAAADwAAAAAAAAAAAAAA&#10;AAChAgAAZHJzL2Rvd25yZXYueG1sUEsFBgAAAAAEAAQA+QAAAJADAAAAAA==&#10;" strokeweight="0">
                  <v:stroke dashstyle="1 1"/>
                </v:line>
                <v:line id="Line 6" o:spid="_x0000_s1031" style="position:absolute;visibility:visible;mso-wrap-style:square" from="845,1760" to="5992,1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yMgsIAAADbAAAADwAAAGRycy9kb3ducmV2LnhtbERPS2vCQBC+C/6HZYTedKNUkdRVfFCr&#10;Rx9QeptmxySYnU2za0z99a4geJuP7zmTWWMKUVPlcssK+r0IBHFidc6pguPhszsG4TyyxsIyKfgn&#10;B7NpuzXBWNsr76je+1SEEHYxKsi8L2MpXZKRQdezJXHgTrYy6AOsUqkrvIZwU8hBFI2kwZxDQ4Yl&#10;LTNKzvuLUVCvtl/D78VmdRrdyr/fPP1Z2+1QqbdOM/8A4anxL/HTvdFh/js8fgkH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lyMgsIAAADbAAAADwAAAAAAAAAAAAAA&#10;AAChAgAAZHJzL2Rvd25yZXYueG1sUEsFBgAAAAAEAAQA+QAAAJADAAAAAA==&#10;" strokeweight="0">
                  <v:stroke dashstyle="1 1"/>
                </v:line>
                <v:line id="Line 7" o:spid="_x0000_s1032" style="position:absolute;visibility:visible;mso-wrap-style:square" from="845,1243" to="5992,1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flp8UAAADbAAAADwAAAGRycy9kb3ducmV2LnhtbESPQWvCQBSE7wX/w/IKvTUbBUViVmmV&#10;VnM0CuLtmX0modm3aXaNaX99t1DocZiZb5h0NZhG9NS52rKCcRSDIC6srrlUcDy8Pc9BOI+ssbFM&#10;Cr7IwWo5ekgx0fbOe+pzX4oAYZeggsr7NpHSFRUZdJFtiYN3tZ1BH2RXSt3hPcBNIydxPJMGaw4L&#10;Fba0rqj4yG9GQb/JttPT625znX23n5e6PL/bbKrU0+PwsgDhafD/4b/2TiuYjOH3S/gBcv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Eflp8UAAADbAAAADwAAAAAAAAAA&#10;AAAAAAChAgAAZHJzL2Rvd25yZXYueG1sUEsFBgAAAAAEAAQA+QAAAJMDAAAAAA==&#10;" strokeweight="0">
                  <v:stroke dashstyle="1 1"/>
                </v:line>
                <v:line id="Line 8" o:spid="_x0000_s1033" style="position:absolute;visibility:visible;mso-wrap-style:square" from="845,731" to="5992,7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V70MUAAADbAAAADwAAAGRycy9kb3ducmV2LnhtbESPT2vCQBTE7wW/w/IKvdVNA4pE12CV&#10;Vj2qheLtmX35Q7Nv0+wa0356VxA8DjPzG2aW9qYWHbWusqzgbRiBIM6srrhQ8HX4eJ2AcB5ZY22Z&#10;FPyRg3Q+eJphou2Fd9TtfSEChF2CCkrvm0RKl5Vk0A1tQxy83LYGfZBtIXWLlwA3tYyjaCwNVhwW&#10;SmxoWVL2sz8bBd1qux59v29W+fi/+T1VxfHTbkdKvTz3iykIT71/hO/tjVYQx3D7En6AnF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JV70MUAAADbAAAADwAAAAAAAAAA&#10;AAAAAAChAgAAZHJzL2Rvd25yZXYueG1sUEsFBgAAAAAEAAQA+QAAAJMDAAAAAA==&#10;" strokeweight="0">
                  <v:stroke dashstyle="1 1"/>
                </v:line>
                <v:line id="Line 9" o:spid="_x0000_s1034" style="position:absolute;visibility:visible;mso-wrap-style:square" from="845,214" to="5992,2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neS8UAAADbAAAADwAAAGRycy9kb3ducmV2LnhtbESPW2vCQBSE3wv+h+UIvtWNiiKpq3ih&#10;Xh6rhdK3Y/aYBLNn0+wao7/eFYQ+DjPzDTOZNaYQNVUut6yg141AECdW55wq+D58vo9BOI+ssbBM&#10;Cm7kYDZtvU0w1vbKX1TvfSoChF2MCjLvy1hKl2Rk0HVtSRy8k60M+iCrVOoKrwFuCtmPopE0mHNY&#10;yLCkZUbJeX8xCurVbjP8WWxXp9G9/Dvm6e/a7oZKddrN/AOEp8b/h1/trVbQH8DzS/gBcvo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neS8UAAADbAAAADwAAAAAAAAAA&#10;AAAAAAChAgAAZHJzL2Rvd25yZXYueG1sUEsFBgAAAAAEAAQA+QAAAJMDAAAAAA==&#10;" strokeweight="0">
                  <v:stroke dashstyle="1 1"/>
                </v:line>
                <v:line id="Line 10" o:spid="_x0000_s1035" style="position:absolute;visibility:visible;mso-wrap-style:square" from="845,214" to="845,3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BBlsQAAADbAAAADwAAAGRycy9kb3ducmV2LnhtbESPQWvCQBSE74X+h+UJvdWNUm2MWaWU&#10;Fu3NRgMeH9lnsph9G7Jbjf/eLRR6HGbmGyZfD7YVF+q9caxgMk5AEFdOG64VHPafzykIH5A1to5J&#10;wY08rFePDzlm2l35my5FqEWEsM9QQRNCl0npq4Ys+rHriKN3cr3FEGVfS93jNcJtK6dJMpcWDceF&#10;Bjt6b6g6Fz9WgdnNN7Ov13JRyo9NmBzTc2rsQamn0fC2BBFoCP/hv/ZWK5i+wO+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0EGWxAAAANsAAAAPAAAAAAAAAAAA&#10;AAAAAKECAABkcnMvZG93bnJldi54bWxQSwUGAAAAAAQABAD5AAAAkgMAAAAA&#10;" strokeweight="0"/>
                <v:line id="Line 11" o:spid="_x0000_s1036" style="position:absolute;visibility:visible;mso-wrap-style:square" from="800,3307" to="845,3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zkDcQAAADbAAAADwAAAGRycy9kb3ducmV2LnhtbESPQWvCQBSE7wX/w/IEb81GQZumriJS&#10;ib21qUKPj+xrsph9G7JbE/99t1DwOMzMN8x6O9pWXKn3xrGCeZKCIK6cNlwrOH0eHjMQPiBrbB2T&#10;ght52G4mD2vMtRv4g65lqEWEsM9RQRNCl0vpq4Ys+sR1xNH7dr3FEGVfS93jEOG2lYs0XUmLhuNC&#10;gx3tG6ou5Y9VYN5XxfLt6fx8lq9FmH9ll8zYk1Kz6bh7ARFoDPfwf/uoFSyW8Pcl/gC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nOQNxAAAANsAAAAPAAAAAAAAAAAA&#10;AAAAAKECAABkcnMvZG93bnJldi54bWxQSwUGAAAAAAQABAD5AAAAkgMAAAAA&#10;" strokeweight="0"/>
                <v:line id="Line 12" o:spid="_x0000_s1037" style="position:absolute;visibility:visible;mso-wrap-style:square" from="800,2790" to="845,27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56esQAAADbAAAADwAAAGRycy9kb3ducmV2LnhtbESPzWrDMBCE74W8g9hCb42cQB3HjRxC&#10;aUhzyy/0uFhbW9haGUtJ3LePCoUch5n5hlksB9uKK/XeOFYwGScgiEunDVcKTsf1awbCB2SNrWNS&#10;8EselsXoaYG5djfe0/UQKhEh7HNUUIfQ5VL6siaLfuw64uj9uN5iiLKvpO7xFuG2ldMkSaVFw3Gh&#10;xo4+aiqbw8UqMLt087adnedn+bkJk++syYw9KfXyPKzeQQQawiP83/7SCqYp/H2JP0AW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Tnp6xAAAANsAAAAPAAAAAAAAAAAA&#10;AAAAAKECAABkcnMvZG93bnJldi54bWxQSwUGAAAAAAQABAD5AAAAkgMAAAAA&#10;" strokeweight="0"/>
                <v:line id="Line 13" o:spid="_x0000_s1038" style="position:absolute;visibility:visible;mso-wrap-style:square" from="800,2278" to="845,22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Lf4cIAAADbAAAADwAAAGRycy9kb3ducmV2LnhtbESPQYvCMBSE78L+h/AWvGmqsFqrUZbF&#10;Rb25roLHR/Nsg81LaaLWf28EweMwM98ws0VrK3GlxhvHCgb9BARx7rThQsH+/7eXgvABWWPlmBTc&#10;ycNi/tGZYabdjf/ouguFiBD2GSooQ6gzKX1ekkXfdzVx9E6usRiibAqpG7xFuK3kMElG0qLhuFBi&#10;TT8l5efdxSow29HqazM+TA5yuQqDY3pOjd0r1f1sv6cgArXhHX6111rBcAzPL/EH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gLf4cIAAADbAAAADwAAAAAAAAAAAAAA&#10;AAChAgAAZHJzL2Rvd25yZXYueG1sUEsFBgAAAAAEAAQA+QAAAJADAAAAAA==&#10;" strokeweight="0"/>
                <v:line id="Line 14" o:spid="_x0000_s1039" style="position:absolute;visibility:visible;mso-wrap-style:square" from="800,1760" to="845,1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51Lk78AAADbAAAADwAAAGRycy9kb3ducmV2LnhtbERPy4rCMBTdD/gP4QruxlRBrdUoIg6O&#10;O5/g8tJc22BzU5qMdv7eLASXh/OeL1tbiQc13jhWMOgnIIhzpw0XCs6nn+8UhA/IGivHpOCfPCwX&#10;na85Zto9+UCPYyhEDGGfoYIyhDqT0uclWfR9VxNH7uYaiyHCppC6wWcMt5UcJslYWjQcG0qsaV1S&#10;fj/+WQVmP96OdpPL9CI32zC4pvfU2LNSvW67moEI1IaP+O3+1QqGcWz8En+AXLw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51Lk78AAADbAAAADwAAAAAAAAAAAAAAAACh&#10;AgAAZHJzL2Rvd25yZXYueG1sUEsFBgAAAAAEAAQA+QAAAI0DAAAAAA==&#10;" strokeweight="0"/>
                <v:line id="Line 15" o:spid="_x0000_s1040" style="position:absolute;visibility:visible;mso-wrap-style:square" from="800,1243" to="845,1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HuCMQAAADbAAAADwAAAGRycy9kb3ducmV2LnhtbESPQWvCQBSE7wX/w/IKvdWNQm2SuoqI&#10;kvZWo0KPj+xrsph9G7KrSf99t1DwOMzMN8xyPdpW3Kj3xrGC2TQBQVw5bbhWcDrun1MQPiBrbB2T&#10;gh/ysF5NHpaYazfwgW5lqEWEsM9RQRNCl0vpq4Ys+qnriKP37XqLIcq+lrrHIcJtK+dJspAWDceF&#10;BjvaNlRdyqtVYD4XxcvH6zk7y10RZl/pJTX2pNTT47h5AxFoDPfwf/tdK5hn8Pcl/gC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0e4IxAAAANsAAAAPAAAAAAAAAAAA&#10;AAAAAKECAABkcnMvZG93bnJldi54bWxQSwUGAAAAAAQABAD5AAAAkgMAAAAA&#10;" strokeweight="0"/>
                <v:line id="Line 16" o:spid="_x0000_s1041" style="position:absolute;visibility:visible;mso-wrap-style:square" from="800,731" to="845,7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RSMAAAADbAAAADwAAAGRycy9kb3ducmV2LnhtbERPy4rCMBTdD/gP4QruxtQRtVajyKDo&#10;7HyCy0tzbYPNTWmidv5+shBmeTjv+bK1lXhS441jBYN+AoI4d9pwoeB82nymIHxA1lg5JgW/5GG5&#10;6HzMMdPuxQd6HkMhYgj7DBWUIdSZlD4vyaLvu5o4cjfXWAwRNoXUDb5iuK3kV5KMpUXDsaHEmr5L&#10;yu/Hh1Vg9uPt6GdymV7kehsG1/SeGntWqtdtVzMQgdrwL367d1rBMK6PX+IPkI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gy0UjAAAAA2wAAAA8AAAAAAAAAAAAAAAAA&#10;oQIAAGRycy9kb3ducmV2LnhtbFBLBQYAAAAABAAEAPkAAACOAwAAAAA=&#10;" strokeweight="0"/>
                <v:line id="Line 17" o:spid="_x0000_s1042" style="position:absolute;visibility:visible;mso-wrap-style:square" from="800,214" to="845,2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5008MAAADbAAAADwAAAGRycy9kb3ducmV2LnhtbESPT2vCQBTE7wW/w/IEb7qJUk1TVxFR&#10;bG/+hR4f2ddkMfs2ZFdNv323IPQ4zMxvmPmys7W4U+uNYwXpKAFBXDhtuFRwPm2HGQgfkDXWjknB&#10;D3lYLnovc8y1e/CB7sdQighhn6OCKoQml9IXFVn0I9cQR+/btRZDlG0pdYuPCLe1HCfJVFo0HBcq&#10;bGhdUXE93qwCs5/uXj9nl7eL3OxC+pVdM2PPSg363eodRKAu/Ief7Q+tYJLC35f4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dNPDAAAA2wAAAA8AAAAAAAAAAAAA&#10;AAAAoQIAAGRycy9kb3ducmV2LnhtbFBLBQYAAAAABAAEAPkAAACRAwAAAAA=&#10;" strokeweight="0"/>
                <v:line id="Line 18" o:spid="_x0000_s1043" style="position:absolute;visibility:visible;mso-wrap-style:square" from="845,3307" to="5992,3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zqpMQAAADbAAAADwAAAGRycy9kb3ducmV2LnhtbESPQWvCQBSE74X+h+UJvdWNFm2MWaWU&#10;Fu3NRgMeH9lnsph9G7Jbjf/eLRR6HGbmGyZfD7YVF+q9caxgMk5AEFdOG64VHPafzykIH5A1to5J&#10;wY08rFePDzlm2l35my5FqEWEsM9QQRNCl0npq4Ys+rHriKN3cr3FEGVfS93jNcJtK6dJMpcWDceF&#10;Bjt6b6g6Fz9WgdnNN7Ov13JRyo9NmBzTc2rsQamn0fC2BBFoCP/hv/ZWK3iZwu+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rOqkxAAAANsAAAAPAAAAAAAAAAAA&#10;AAAAAKECAABkcnMvZG93bnJldi54bWxQSwUGAAAAAAQABAD5AAAAkgMAAAAA&#10;" strokeweight="0"/>
                <v:line id="Line 19" o:spid="_x0000_s1044" style="position:absolute;flip:y;visibility:visible;mso-wrap-style:square" from="845,3307" to="845,3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CQtsUAAADbAAAADwAAAGRycy9kb3ducmV2LnhtbESPT2sCMRTE7wW/Q3hCbzVbhVZWo0iL&#10;RYRW/Hfw9ty87i5uXpYkuum3bwoFj8PM/IaZzqNpxI2cry0reB5kIIgLq2suFRz2y6cxCB+QNTaW&#10;ScEPeZjPeg9TzLXteEu3XShFgrDPUUEVQptL6YuKDPqBbYmT922dwZCkK6V22CW4aeQwy16kwZrT&#10;QoUtvVVUXHZXo2D79cpn93GNl3juPjenY7k+vi+UeuzHxQREoBju4f/2SisYjeDvS/oBcvY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CQtsUAAADbAAAADwAAAAAAAAAA&#10;AAAAAAChAgAAZHJzL2Rvd25yZXYueG1sUEsFBgAAAAAEAAQA+QAAAJMDAAAAAA==&#10;" strokeweight="0"/>
                <v:line id="Line 20" o:spid="_x0000_s1045" style="position:absolute;flip:y;visibility:visible;mso-wrap-style:square" from="1419,3307" to="1419,3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kIwsYAAADbAAAADwAAAGRycy9kb3ducmV2LnhtbESPQWsCMRSE7wX/Q3gFbzVbK23ZGkWU&#10;ighatPXQ23Pzuru4eVmS6MZ/bwqFHoeZ+YYZT6NpxIWcry0reBxkIIgLq2suFXx9vj+8gvABWWNj&#10;mRRcycN00rsbY65txzu67EMpEoR9jgqqENpcSl9UZNAPbEucvB/rDIYkXSm1wy7BTSOHWfYsDdac&#10;FipsaV5RcdqfjYLd9oWPbnmOp3jsNh/fh3J9WMyU6t/H2RuIQDH8h//aK63gaQS/X9IPkJ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9ZCMLGAAAA2wAAAA8AAAAAAAAA&#10;AAAAAAAAoQIAAGRycy9kb3ducmV2LnhtbFBLBQYAAAAABAAEAPkAAACUAwAAAAA=&#10;" strokeweight="0"/>
                <v:line id="Line 21" o:spid="_x0000_s1046" style="position:absolute;flip:y;visibility:visible;mso-wrap-style:square" from="1987,3307" to="1987,3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WtWcYAAADbAAAADwAAAGRycy9kb3ducmV2LnhtbESPQWsCMRSE7wX/Q3gFbzVbi23ZGkWU&#10;ighatPXQ23Pzuru4eVmS6MZ/bwqFHoeZ+YYZT6NpxIWcry0reBxkIIgLq2suFXx9vj+8gvABWWNj&#10;mRRcycN00rsbY65txzu67EMpEoR9jgqqENpcSl9UZNAPbEucvB/rDIYkXSm1wy7BTSOHWfYsDdac&#10;FipsaV5RcdqfjYLd9oWPbnmOp3jsNh/fh3J9WMyU6t/H2RuIQDH8h//aK63gaQS/X9IPkJ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AVrVnGAAAA2wAAAA8AAAAAAAAA&#10;AAAAAAAAoQIAAGRycy9kb3ducmV2LnhtbFBLBQYAAAAABAAEAPkAAACUAwAAAAA=&#10;" strokeweight="0"/>
                <v:line id="Line 22" o:spid="_x0000_s1047" style="position:absolute;flip:y;visibility:visible;mso-wrap-style:square" from="2561,3307" to="2561,3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czLsUAAADbAAAADwAAAGRycy9kb3ducmV2LnhtbESPQWsCMRSE7wX/Q3iCt5qtgpWtUaRF&#10;kYIVbT309ty87i5uXpYkuum/N4WCx2FmvmFmi2gacSXna8sKnoYZCOLC6ppLBV+fq8cpCB+QNTaW&#10;ScEveVjMew8zzLXteE/XQyhFgrDPUUEVQptL6YuKDPqhbYmT92OdwZCkK6V22CW4aeQoyybSYM1p&#10;ocKWXisqzoeLUbD/eOaTW1/iOZ667e77WL4f35ZKDfpx+QIiUAz38H97oxWMJ/D3Jf0AOb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MczLsUAAADbAAAADwAAAAAAAAAA&#10;AAAAAAChAgAAZHJzL2Rvd25yZXYueG1sUEsFBgAAAAAEAAQA+QAAAJMDAAAAAA==&#10;" strokeweight="0"/>
                <v:line id="Line 23" o:spid="_x0000_s1048" style="position:absolute;flip:y;visibility:visible;mso-wrap-style:square" from="3135,3307" to="3135,3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uWtcUAAADbAAAADwAAAGRycy9kb3ducmV2LnhtbESPQWsCMRSE74L/ITzBm2bbgsrWKNLS&#10;IoIVbT309ty87i5uXpYkuvHfN4WCx2FmvmHmy2gacSXna8sKHsYZCOLC6ppLBV+fb6MZCB+QNTaW&#10;ScGNPCwX/d4cc2073tP1EEqRIOxzVFCF0OZS+qIig35sW+Lk/VhnMCTpSqkddgluGvmYZRNpsOa0&#10;UGFLLxUV58PFKNh/TPnk3i/xHE/ddvd9LDfH15VSw0FcPYMIFMM9/N9eawVPU/j7kn6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4uWtcUAAADbAAAADwAAAAAAAAAA&#10;AAAAAAChAgAAZHJzL2Rvd25yZXYueG1sUEsFBgAAAAAEAAQA+QAAAJMDAAAAAA==&#10;" strokeweight="0"/>
                <v:line id="Line 24" o:spid="_x0000_s1049" style="position:absolute;flip:y;visibility:visible;mso-wrap-style:square" from="3702,3307" to="3702,3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QCx8IAAADbAAAADwAAAGRycy9kb3ducmV2LnhtbERPy2oCMRTdF/yHcAV3NWOFVkajiEUp&#10;hVZ8LdxdJ9eZwcnNkEQn/ftmUejycN6zRTSNeJDztWUFo2EGgriwuuZSwfGwfp6A8AFZY2OZFPyQ&#10;h8W89zTDXNuOd/TYh1KkEPY5KqhCaHMpfVGRQT+0LXHirtYZDAm6UmqHXQo3jXzJsldpsObUUGFL&#10;q4qK2/5uFOy+3/jiNvd4i5fua3s+lZ+n96VSg35cTkEEiuFf/Of+0ArGaWz6kn6An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hQCx8IAAADbAAAADwAAAAAAAAAAAAAA&#10;AAChAgAAZHJzL2Rvd25yZXYueG1sUEsFBgAAAAAEAAQA+QAAAJADAAAAAA==&#10;" strokeweight="0"/>
                <v:line id="Line 25" o:spid="_x0000_s1050" style="position:absolute;flip:y;visibility:visible;mso-wrap-style:square" from="4276,3307" to="4276,3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inXMYAAADbAAAADwAAAGRycy9kb3ducmV2LnhtbESPQWsCMRSE7wX/Q3gFbzVbC7bdGkWU&#10;ighatPXQ23Pzuru4eVmS6MZ/bwqFHoeZ+YYZT6NpxIWcry0reBxkIIgLq2suFXx9vj+8gPABWWNj&#10;mRRcycN00rsbY65txzu67EMpEoR9jgqqENpcSl9UZNAPbEucvB/rDIYkXSm1wy7BTSOHWTaSBmtO&#10;CxW2NK+oOO3PRsFu+8xHtzzHUzx2m4/vQ7k+LGZK9e/j7A1EoBj+w3/tlVbw9Aq/X9IPkJ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FYp1zGAAAA2wAAAA8AAAAAAAAA&#10;AAAAAAAAoQIAAGRycy9kb3ducmV2LnhtbFBLBQYAAAAABAAEAPkAAACUAwAAAAA=&#10;" strokeweight="0"/>
                <v:line id="Line 26" o:spid="_x0000_s1051" style="position:absolute;flip:y;visibility:visible;mso-wrap-style:square" from="4850,3307" to="4850,3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R9vMIAAADbAAAADwAAAGRycy9kb3ducmV2LnhtbERPy2oCMRTdF/yHcAV3NWORVkajiEUp&#10;hVZ8LdxdJ9eZwcnNkEQn/ftmUejycN6zRTSNeJDztWUFo2EGgriwuuZSwfGwfp6A8AFZY2OZFPyQ&#10;h8W89zTDXNuOd/TYh1KkEPY5KqhCaHMpfVGRQT+0LXHirtYZDAm6UmqHXQo3jXzJsldpsObUUGFL&#10;q4qK2/5uFOy+3/jiNvd4i5fua3s+lZ+n96VSg35cTkEEiuFf/Of+0ArGaX36kn6An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GR9vMIAAADbAAAADwAAAAAAAAAAAAAA&#10;AAChAgAAZHJzL2Rvd25yZXYueG1sUEsFBgAAAAAEAAQA+QAAAJADAAAAAA==&#10;" strokeweight="0"/>
                <v:line id="Line 27" o:spid="_x0000_s1052" style="position:absolute;flip:y;visibility:visible;mso-wrap-style:square" from="5418,3307" to="5418,3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jYJ8UAAADbAAAADwAAAGRycy9kb3ducmV2LnhtbESPQWsCMRSE70L/Q3iF3jSrlCpbo0il&#10;RQQr2nro7bl53V3cvCxJdNN/bwqCx2FmvmGm82gacSHna8sKhoMMBHFhdc2lgu+v9/4EhA/IGhvL&#10;pOCPPMxnD70p5tp2vKPLPpQiQdjnqKAKoc2l9EVFBv3AtsTJ+7XOYEjSlVI77BLcNHKUZS/SYM1p&#10;ocKW3ioqTvuzUbD7HPPRfZzjKR67zfbnUK4Py4VST49x8QoiUAz38K290gqeh/D/Jf0AObs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yjYJ8UAAADbAAAADwAAAAAAAAAA&#10;AAAAAAChAgAAZHJzL2Rvd25yZXYueG1sUEsFBgAAAAAEAAQA+QAAAJMDAAAAAA==&#10;" strokeweight="0"/>
                <v:line id="Line 28" o:spid="_x0000_s1053" style="position:absolute;flip:y;visibility:visible;mso-wrap-style:square" from="5992,3307" to="5992,3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GUMUAAADbAAAADwAAAGRycy9kb3ducmV2LnhtbESPQWsCMRSE74L/ITyhN81WSpWtUaSl&#10;RQQr2nro7bl53V3cvCxJdNN/bwqCx2FmvmFmi2gacSHna8sKHkcZCOLC6ppLBd9f78MpCB+QNTaW&#10;ScEfeVjM+70Z5tp2vKPLPpQiQdjnqKAKoc2l9EVFBv3ItsTJ+7XOYEjSlVI77BLcNHKcZc/SYM1p&#10;ocKWXisqTvuzUbD7nPDRfZzjKR67zfbnUK4Pb0ulHgZx+QIiUAz38K290gqexvD/Jf0AOb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pGUMUAAADbAAAADwAAAAAAAAAA&#10;AAAAAAChAgAAZHJzL2Rvd25yZXYueG1sUEsFBgAAAAAEAAQA+QAAAJMDAAAAAA==&#10;" strokeweight="0"/>
                <v:shape id="Freeform 29" o:spid="_x0000_s1054" style="position:absolute;left:845;top:1786;width:5147;height:719;visibility:visible;mso-wrap-style:square;v-text-anchor:top" coordsize="798,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3MjcMA&#10;AADbAAAADwAAAGRycy9kb3ducmV2LnhtbESPQWvCQBSE7wX/w/IEb3WjLbWkriJCg4dSqIq9PrLP&#10;bGj2bcg+TfrvuwXB4zAz3zDL9eAbdaUu1oENzKYZKOIy2JorA8fD++MrqCjIFpvAZOCXIqxXo4cl&#10;5jb0/EXXvVQqQTjmaMCJtLnWsXTkMU5DS5y8c+g8SpJdpW2HfYL7Rs+z7EV7rDktOGxp66j82V+8&#10;gXPhvi+fUYoPPFa173Uh7eJkzGQ8bN5ACQ1yD9/aO2vg+Qn+v6Qfo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g3MjcMAAADbAAAADwAAAAAAAAAAAAAAAACYAgAAZHJzL2Rv&#10;d25yZXYueG1sUEsFBgAAAAAEAAQA9QAAAIgDAAAAAA==&#10;" path="m,111l89,92,177,53,266,42,355,13,443,r89,2l621,14r88,6l798,e" filled="f" strokecolor="#396" strokeweight=".95pt">
                  <v:path arrowok="t" o:connecttype="custom" o:connectlocs="0,719;574,596;1142,343;1716,272;2290,84;2857,0;3431,13;4005,91;4573,130;5147,0" o:connectangles="0,0,0,0,0,0,0,0,0,0"/>
                </v:shape>
                <v:line id="Line 30" o:spid="_x0000_s1055" style="position:absolute;flip:y;visibility:visible;mso-wrap-style:square" from="845,2563" to="1419,2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38OMMAAADbAAAADwAAAGRycy9kb3ducmV2LnhtbESPS2vDMBCE74X8B7GB3Bo5xZTiRjGl&#10;pCGEXpxHz4u1fmBrZSQldv59VCj0OMzMN8w6n0wvbuR8a1nBapmAIC6tbrlWcD59Pb+B8AFZY2+Z&#10;FNzJQ76ZPa0x03bkgm7HUIsIYZ+hgiaEIZPSlw0Z9Es7EEevss5giNLVUjscI9z08iVJXqXBluNC&#10;gwN9NlR2x6tR4Kpdd3D1thiL/pvSn3tVFpdKqcV8+ngHEWgK/+G/9l4rSFP4/RJ/gN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9/DjDAAAA2wAAAA8AAAAAAAAAAAAA&#10;AAAAoQIAAGRycy9kb3ducmV2LnhtbFBLBQYAAAAABAAEAPkAAACRAwAAAAA=&#10;" strokecolor="#9c0" strokeweight=".95pt"/>
                <v:shape id="Freeform 31" o:spid="_x0000_s1056" style="position:absolute;left:1419;top:2440;width:568;height:123;visibility:visible;mso-wrap-style:square;v-text-anchor:top" coordsize="568,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lElcMA&#10;AADbAAAADwAAAGRycy9kb3ducmV2LnhtbESPQWsCMRSE7wX/Q3iCt25WUatbo4ggKHjRevH2mjx3&#10;lyYvyybqtr/eFAo9DjPzDbNYdc6KO7Wh9qxgmOUgiLU3NZcKzh/b1xmIEJENWs+k4JsCrJa9lwUW&#10;xj/4SPdTLEWCcChQQRVjU0gZdEUOQ+Yb4uRdfeswJtmW0rT4SHBn5SjPp9JhzWmhwoY2Femv080p&#10;OOxt/vN5PoRbPbO4v1x0nL9ppQb9bv0OIlIX/8N/7Z1RMJ7A75f0A+Ty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lElcMAAADbAAAADwAAAAAAAAAAAAAAAACYAgAAZHJzL2Rv&#10;d25yZXYueG1sUEsFBgAAAAAEAAQA9QAAAIgDAAAAAA==&#10;" path="m,123l142,97,284,71,426,39,568,e" filled="f" strokecolor="#9c0" strokeweight=".95pt">
                  <v:path arrowok="t" o:connecttype="custom" o:connectlocs="0,123;142,97;284,71;426,39;568,0" o:connectangles="0,0,0,0,0"/>
                </v:shape>
                <v:shape id="Freeform 32" o:spid="_x0000_s1057" style="position:absolute;left:1987;top:2201;width:574;height:239;visibility:visible;mso-wrap-style:square;v-text-anchor:top" coordsize="574,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Yfb8IA&#10;AADbAAAADwAAAGRycy9kb3ducmV2LnhtbESPT4vCMBTE7wt+h/AEL4umqyJSjbIICwue/Hd/JM+2&#10;2LzUJNXqpzcLCx6HmfkNs1x3thY38qFyrOBrlIEg1s5UXCg4Hn6GcxAhIhusHZOCBwVYr3ofS8yN&#10;u/OObvtYiAThkKOCMsYmlzLokiyGkWuIk3d23mJM0hfSeLwnuK3lOMtm0mLFaaHEhjYl6cu+tQrw&#10;+rmZmIP2l1aPi3NLp+1zclJq0O++FyAidfEd/m//GgXTGfx9ST9Ar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dh9vwgAAANsAAAAPAAAAAAAAAAAAAAAAAJgCAABkcnMvZG93&#10;bnJldi54bWxQSwUGAAAAAAQABAD1AAAAhwMAAAAA&#10;" path="m,239l71,213r71,-32l283,116,432,51,503,26,574,e" filled="f" strokecolor="#9c0" strokeweight=".95pt">
                  <v:path arrowok="t" o:connecttype="custom" o:connectlocs="0,239;71,213;142,181;283,116;432,51;503,26;574,0" o:connectangles="0,0,0,0,0,0,0"/>
                </v:shape>
                <v:shape id="Freeform 33" o:spid="_x0000_s1058" style="position:absolute;left:2561;top:2123;width:574;height:78;visibility:visible;mso-wrap-style:square;v-text-anchor:top" coordsize="57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jvcQA&#10;AADbAAAADwAAAGRycy9kb3ducmV2LnhtbESPT4vCMBTE74LfITzBm6bKrko1iiysehHx38Hbs3m2&#10;xeal20Tt+uk3C4LHYWZ+w0xmtSnEnSqXW1bQ60YgiBOrc04VHPbfnREI55E1FpZJwS85mE2bjQnG&#10;2j54S/edT0WAsItRQeZ9GUvpkowMuq4tiYN3sZVBH2SVSl3hI8BNIftRNJAGcw4LGZb0lVFy3d2M&#10;Av80y/7meFmcVrxeaH3+qT+XA6XarXo+BuGp9u/wq73SCj6G8P8l/AA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c7Y73EAAAA2wAAAA8AAAAAAAAAAAAAAAAAmAIAAGRycy9k&#10;b3ducmV2LnhtbFBLBQYAAAAABAAEAPUAAACJAwAAAAA=&#10;" path="m,78l71,58r71,-6l290,32,432,19r71,-6l574,e" filled="f" strokecolor="#9c0" strokeweight=".95pt">
                  <v:path arrowok="t" o:connecttype="custom" o:connectlocs="0,78;71,58;142,52;290,32;432,19;503,13;574,0" o:connectangles="0,0,0,0,0,0,0"/>
                </v:shape>
                <v:shape id="Freeform 34" o:spid="_x0000_s1059" style="position:absolute;left:3135;top:1948;width:567;height:175;visibility:visible;mso-wrap-style:square;v-text-anchor:top" coordsize="567,1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llYMAA&#10;AADbAAAADwAAAGRycy9kb3ducmV2LnhtbERPzWrCQBC+C77DMoI33ShSSnSV+t9DQap9gGl2mgSz&#10;syE7mujTdw+FHj++/8Wqc5W6UxNKzwYm4wQUceZtybmBr8t+9AoqCLLFyjMZeFCA1bLfW2Bqfcuf&#10;dD9LrmIIhxQNFCJ1qnXICnIYxr4mjtyPbxxKhE2ubYNtDHeVnibJi3ZYcmwosKZNQdn1fHMGjqdn&#10;ezit8eOw/97ert1O6FmJMcNB9zYHJdTJv/jP/W4NzOLY+CX+AL3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EllYMAAAADbAAAADwAAAAAAAAAAAAAAAACYAgAAZHJzL2Rvd25y&#10;ZXYueG1sUEsFBgAAAAAEAAQA9QAAAIUDAAAAAA==&#10;" path="m,175l142,136,284,91,425,39,567,e" filled="f" strokecolor="#9c0" strokeweight=".95pt">
                  <v:path arrowok="t" o:connecttype="custom" o:connectlocs="0,175;142,136;284,91;425,39;567,0" o:connectangles="0,0,0,0,0"/>
                </v:shape>
                <v:shape id="Freeform 35" o:spid="_x0000_s1060" style="position:absolute;left:3702;top:1858;width:574;height:90;visibility:visible;mso-wrap-style:square;v-text-anchor:top" coordsize="574,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z53MUA&#10;AADbAAAADwAAAGRycy9kb3ducmV2LnhtbESPQWvCQBSE70L/w/IKvUjdGERr6ioSKJXixejF2yP7&#10;zIZm34bsNkn/fVcoeBxm5htmsxttI3rqfO1YwXyWgCAuna65UnA5f7y+gfABWWPjmBT8kofd9mmy&#10;wUy7gU/UF6ESEcI+QwUmhDaT0peGLPqZa4mjd3OdxRBlV0nd4RDhtpFpkiylxZrjgsGWckPld/Fj&#10;FTTT4yEs518mPa/ysrjuP9f1ipV6eR737yACjeER/m8ftILFGu5f4g+Q2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fPncxQAAANsAAAAPAAAAAAAAAAAAAAAAAJgCAABkcnMv&#10;ZG93bnJldi54bWxQSwUGAAAAAAQABAD1AAAAigMAAAAA&#10;" path="m,90l142,58,284,32,433,13,574,e" filled="f" strokecolor="#9c0" strokeweight=".95pt">
                  <v:path arrowok="t" o:connecttype="custom" o:connectlocs="0,90;142,58;284,32;433,13;574,0" o:connectangles="0,0,0,0,0"/>
                </v:shape>
                <v:shape id="Freeform 36" o:spid="_x0000_s1061" style="position:absolute;left:4276;top:1851;width:574;height:20;visibility:visible;mso-wrap-style:square;v-text-anchor:top" coordsize="57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oAecEA&#10;AADbAAAADwAAAGRycy9kb3ducmV2LnhtbERPy4rCMBTdC/5DuMJsRFNHlLEaRQYqrgQfMLq7NHea&#10;Ms1NaTK1/r1ZCC4P573adLYSLTW+dKxgMk5AEOdOl1wouJyz0RcIH5A1Vo5JwYM8bNb93gpT7e58&#10;pPYUChFD2KeowIRQp1L63JBFP3Y1ceR+XWMxRNgUUjd4j+G2kp9JMpcWS44NBmv6NpT/nf6tgtyc&#10;d7IdHq9uyoufKktuw0N2U+pj0G2XIAJ14S1+ufdawSyuj1/i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KAHnBAAAA2wAAAA8AAAAAAAAAAAAAAAAAmAIAAGRycy9kb3du&#10;cmV2LnhtbFBLBQYAAAAABAAEAPUAAACGAwAAAAA=&#10;" path="m,7l142,,291,,433,13r141,7e" filled="f" strokecolor="#9c0" strokeweight=".95pt">
                  <v:path arrowok="t" o:connecttype="custom" o:connectlocs="0,7;142,0;291,0;433,13;574,20" o:connectangles="0,0,0,0,0"/>
                </v:shape>
                <v:shape id="Freeform 37" o:spid="_x0000_s1062" style="position:absolute;left:4850;top:1871;width:568;height:71;visibility:visible;mso-wrap-style:square;v-text-anchor:top" coordsize="568,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LMmMUA&#10;AADbAAAADwAAAGRycy9kb3ducmV2LnhtbESPUUvDQBCE3wX/w7GCb/ZSwRJir0ULFX1oS1t/wDa3&#10;5mJyezG3tvHfe4VCH4eZ+YaZzgffqiP1sQ5sYDzKQBGXwdZcGfjcLx9yUFGQLbaBycAfRZjPbm+m&#10;WNhw4i0dd1KpBOFYoAEn0hVax9KRxzgKHXHyvkLvUZLsK217PCW4b/Vjlk20x5rTgsOOFo7KZvfr&#10;DXznP2tZLkReD4fmw632On9rNsbc3w0vz6CEBrmGL+13a+BpDOcv6Qfo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ksyYxQAAANsAAAAPAAAAAAAAAAAAAAAAAJgCAABkcnMv&#10;ZG93bnJldi54bWxQSwUGAAAAAAQABAD1AAAAigMAAAAA&#10;" path="m,l142,12,284,32,426,51,568,71e" filled="f" strokecolor="#9c0" strokeweight=".95pt">
                  <v:path arrowok="t" o:connecttype="custom" o:connectlocs="0,0;142,12;284,32;426,51;568,71" o:connectangles="0,0,0,0,0"/>
                </v:shape>
                <v:shape id="Freeform 38" o:spid="_x0000_s1063" style="position:absolute;left:5418;top:1942;width:574;height:32;visibility:visible;mso-wrap-style:square;v-text-anchor:top" coordsize="57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BkOcYA&#10;AADbAAAADwAAAGRycy9kb3ducmV2LnhtbESPT2vCQBTE74LfYXmCN91UadHUVUqhpHho8T+9PbKv&#10;SUj2bZrdavTTu4LgcZiZ3zCzRWsqcaTGFZYVPA0jEMSp1QVnCrabj8EEhPPIGivLpOBMDhbzbmeG&#10;sbYnXtFx7TMRIOxiVJB7X8dSujQng25oa+Lg/drGoA+yyaRu8BTgppKjKHqRBgsOCznW9J5TWq7/&#10;jYLLcndwSZSYv6/xt/xJyumk3E+V6vfat1cQnlr/CN/bn1rB8whuX8IPk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QBkOcYAAADbAAAADwAAAAAAAAAAAAAAAACYAgAAZHJz&#10;L2Rvd25yZXYueG1sUEsFBgAAAAAEAAQA9QAAAIsDAAAAAA==&#10;" path="m,l284,19,574,32e" filled="f" strokecolor="#9c0" strokeweight=".95pt">
                  <v:path arrowok="t" o:connecttype="custom" o:connectlocs="0,0;284,19;574,32" o:connectangles="0,0,0"/>
                </v:shape>
                <v:shape id="Freeform 39" o:spid="_x0000_s1064" style="position:absolute;left:845;top:2764;width:574;height:13;visibility:visible;mso-wrap-style:square;v-text-anchor:top" coordsize="574,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a//cMA&#10;AADbAAAADwAAAGRycy9kb3ducmV2LnhtbESPQWsCMRSE74X+h/AEbzWxi6WuRmkFoQcvrvX+2Dx3&#10;l01elk3U1V/fCEKPw8x8wyzXg7PiQn1oPGuYThQI4tKbhisNv4ft2yeIEJENWs+k4UYB1qvXlyXm&#10;xl95T5ciViJBOOSooY6xy6UMZU0Ow8R3xMk7+d5hTLKvpOnxmuDOynelPqTDhtNCjR1tairb4uw0&#10;KLs5ZkU7z8L2bnf7Vh1x+J5qPR4NXwsQkYb4H362f4yGWQaPL+kH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a//cMAAADbAAAADwAAAAAAAAAAAAAAAACYAgAAZHJzL2Rv&#10;d25yZXYueG1sUEsFBgAAAAAEAAQA9QAAAIgDAAAAAA==&#10;" path="m,6r142,l290,13r142,l574,e" filled="f" strokecolor="#030" strokeweight=".95pt">
                  <v:path arrowok="t" o:connecttype="custom" o:connectlocs="0,6;142,6;290,13;432,13;574,0" o:connectangles="0,0,0,0,0"/>
                </v:shape>
                <v:shape id="Freeform 40" o:spid="_x0000_s1065" style="position:absolute;left:1419;top:2641;width:568;height:123;visibility:visible;mso-wrap-style:square;v-text-anchor:top" coordsize="568,1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JYJcMA&#10;AADbAAAADwAAAGRycy9kb3ducmV2LnhtbESPQWvCQBSE7wX/w/KE3upGaYumriKKtBcPVSkeX7Ov&#10;2WD2bcg+Tfrv3ULB4zAz3zDzZe9rdaU2VoENjEcZKOIi2IpLA8fD9mkKKgqyxTowGfilCMvF4GGO&#10;uQ0df9J1L6VKEI45GnAiTa51LBx5jKPQECfvJ7QeJcm21LbFLsF9rSdZ9qo9VpwWHDa0dlSc9xdv&#10;gHp3/m5OYdrx7v1rJifZ4HhmzOOwX72BEurlHv5vf1gDL8/w9yX9AL2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fJYJcMAAADbAAAADwAAAAAAAAAAAAAAAACYAgAAZHJzL2Rv&#10;d25yZXYueG1sUEsFBgAAAAAEAAQA9QAAAIgDAAAAAA==&#10;" path="m,123l142,97,284,71,426,32,568,e" filled="f" strokecolor="#030" strokeweight=".95pt">
                  <v:path arrowok="t" o:connecttype="custom" o:connectlocs="0,123;142,97;284,71;426,32;568,0" o:connectangles="0,0,0,0,0"/>
                </v:shape>
                <v:shape id="Freeform 41" o:spid="_x0000_s1066" style="position:absolute;left:1987;top:2531;width:574;height:110;visibility:visible;mso-wrap-style:square;v-text-anchor:top" coordsize="574,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g2sMQA&#10;AADbAAAADwAAAGRycy9kb3ducmV2LnhtbESPQWsCMRSE7wX/Q3hCbzWpsEVWo1jFUigUVnuot+fm&#10;uVncvCybdN3++6YgeBxm5htmsRpcI3rqQu1Zw/NEgSAuvam50vB12D3NQISIbLDxTBp+KcBqOXpY&#10;YG78lQvq97ESCcIhRw02xjaXMpSWHIaJb4mTd/adw5hkV0nT4TXBXSOnSr1IhzWnBYstbSyVl/2P&#10;04DqPP1G9frx+bax/aVQ2WlbHLV+HA/rOYhIQ7yHb+13oyHL4P9L+g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INrDEAAAA2wAAAA8AAAAAAAAAAAAAAAAAmAIAAGRycy9k&#10;b3ducmV2LnhtbFBLBQYAAAAABAAEAPUAAACJAwAAAAA=&#10;" path="m,110l142,84,283,58,432,32,574,e" filled="f" strokecolor="#030" strokeweight=".95pt">
                  <v:path arrowok="t" o:connecttype="custom" o:connectlocs="0,110;142,84;283,58;432,32;574,0" o:connectangles="0,0,0,0,0"/>
                </v:shape>
                <v:shape id="Freeform 42" o:spid="_x0000_s1067" style="position:absolute;left:2561;top:2311;width:574;height:220;visibility:visible;mso-wrap-style:square;v-text-anchor:top" coordsize="574,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Tn7bwA&#10;AADbAAAADwAAAGRycy9kb3ducmV2LnhtbESPzQrCMBCE74LvEFbwZlMFRapRrCB49Qe8Ls3aFJtN&#10;aWKtb28EweMwM98w621va9FR6yvHCqZJCoK4cLriUsH1cpgsQfiArLF2TAre5GG7GQ7WmGn34hN1&#10;51CKCGGfoQITQpNJ6QtDFn3iGuLo3V1rMUTZllK3+IpwW8tZmi6kxYrjgsGG9oaKx/lpI2WXo8tN&#10;4++yk67Pu/f89qiUGo/63QpEoD78w7/2USuYL+D7Jf4Aufk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rROftvAAAANsAAAAPAAAAAAAAAAAAAAAAAJgCAABkcnMvZG93bnJldi54&#10;bWxQSwUGAAAAAAQABAD1AAAAgQMAAAAA&#10;" path="m,220l71,194r71,-26l290,110,432,45,503,19,574,e" filled="f" strokecolor="#030" strokeweight=".95pt">
                  <v:path arrowok="t" o:connecttype="custom" o:connectlocs="0,220;71,194;142,168;290,110;432,45;503,19;574,0" o:connectangles="0,0,0,0,0,0,0"/>
                </v:shape>
                <v:shape id="Freeform 43" o:spid="_x0000_s1068" style="position:absolute;left:3135;top:2233;width:567;height:78;visibility:visible;mso-wrap-style:square;v-text-anchor:top" coordsize="567,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Tj58QA&#10;AADbAAAADwAAAGRycy9kb3ducmV2LnhtbESPQWvCQBSE74L/YXmF3nRTaU2JriJSofWkSfX8yD6T&#10;YPZtmt1q8u9dQfA4zMw3zHzZmVpcqHWVZQVv4wgEcW51xYWC32wz+gThPLLG2jIp6MnBcjEczDHR&#10;9sp7uqS+EAHCLkEFpfdNIqXLSzLoxrYhDt7JtgZ9kG0hdYvXADe1nETRVBqsOCyU2NC6pPyc/hsF&#10;h/i0/ekn2Zd+/7OH/LzZHbVeKfX60q1mIDx1/hl+tL+1go8Y7l/CD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04+fEAAAA2wAAAA8AAAAAAAAAAAAAAAAAmAIAAGRycy9k&#10;b3ducmV2LnhtbFBLBQYAAAAABAAEAPUAAACJAwAAAAA=&#10;" path="m,78l71,65,142,52,284,39,425,19r71,-6l567,e" filled="f" strokecolor="#030" strokeweight=".95pt">
                  <v:path arrowok="t" o:connecttype="custom" o:connectlocs="0,78;71,65;142,52;284,39;425,19;496,13;567,0" o:connectangles="0,0,0,0,0,0,0"/>
                </v:shape>
                <v:shape id="Freeform 44" o:spid="_x0000_s1069" style="position:absolute;left:3702;top:2065;width:574;height:168;visibility:visible;mso-wrap-style:square;v-text-anchor:top" coordsize="574,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oLIMEA&#10;AADbAAAADwAAAGRycy9kb3ducmV2LnhtbERPyW7CMBC9I/EP1lTqDewiilCIgyoqaDmytOchnsYR&#10;8TiKXUj79fiAxPHp7fmyd424UBdqzxpexgoEcelNzZWG42E9moMIEdlg45k0/FGAZTEc5JgZf+Ud&#10;XfaxEimEQ4YabIxtJmUoLTkMY98SJ+7Hdw5jgl0lTYfXFO4aOVFqJh3WnBostrSyVJ73v07D+2RW&#10;yY+z+p5+nTZ2/r9VNa+PWj8/9W8LEJH6+BDf3Z9Gw2sam76kHyC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aCyDBAAAA2wAAAA8AAAAAAAAAAAAAAAAAmAIAAGRycy9kb3du&#10;cmV2LnhtbFBLBQYAAAAABAAEAPUAAACGAwAAAAA=&#10;" path="m,168l142,129,284,84,433,39,574,e" filled="f" strokecolor="#030" strokeweight=".95pt">
                  <v:path arrowok="t" o:connecttype="custom" o:connectlocs="0,168;142,129;284,84;433,39;574,0" o:connectangles="0,0,0,0,0"/>
                </v:shape>
                <v:shape id="Freeform 45" o:spid="_x0000_s1070" style="position:absolute;left:4276;top:1981;width:574;height:84;visibility:visible;mso-wrap-style:square;v-text-anchor:top" coordsize="57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bRPcUA&#10;AADbAAAADwAAAGRycy9kb3ducmV2LnhtbESP3WrCQBSE7wu+w3KE3tVNhYqmrqFExLY3JeoDHLKn&#10;STR7NmbX/Pj03UKhl8PMfMOsk8HUoqPWVZYVPM8iEMS51RUXCk7H3dMShPPIGmvLpGAkB8lm8rDG&#10;WNueM+oOvhABwi5GBaX3TSyly0sy6Ga2IQ7et20N+iDbQuoW+wA3tZxH0UIarDgslNhQWlJ+OdyM&#10;AvnVj9uPNCvOfN+Pn+fLdbnaXpV6nA5vryA8Df4//Nd+1wpeVvD7JfwAuf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JtE9xQAAANsAAAAPAAAAAAAAAAAAAAAAAJgCAABkcnMv&#10;ZG93bnJldi54bWxQSwUGAAAAAAQABAD1AAAAigMAAAAA&#10;" path="m,84l142,58,291,32,433,13,574,e" filled="f" strokecolor="#030" strokeweight=".95pt">
                  <v:path arrowok="t" o:connecttype="custom" o:connectlocs="0,84;142,58;291,32;433,13;574,0" o:connectangles="0,0,0,0,0"/>
                </v:shape>
                <v:shape id="Freeform 46" o:spid="_x0000_s1071" style="position:absolute;left:4850;top:1974;width:568;height:13;visibility:visible;mso-wrap-style:square;v-text-anchor:top" coordsize="568,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PqB78A&#10;AADbAAAADwAAAGRycy9kb3ducmV2LnhtbERPzYrCMBC+C75DGGEvoql7EKlGUUEoLAi6PsDYjE2x&#10;mdQk1vr2m4Owx4/vf7XpbSM68qF2rGA2zUAQl07XXCm4/B4mCxAhImtsHJOCNwXYrIeDFebavfhE&#10;3TlWIoVwyFGBibHNpQylIYth6lrixN2ctxgT9JXUHl8p3DbyO8vm0mLNqcFgS3tD5f38tAqKt787&#10;a2bj/aFbHK8/p8euqFCpr1G/XYKI1Md/8cddaAXztD59ST9Ar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M+oHvwAAANsAAAAPAAAAAAAAAAAAAAAAAJgCAABkcnMvZG93bnJl&#10;di54bWxQSwUGAAAAAAQABAD1AAAAhAMAAAAA&#10;" path="m,7l142,,284,,568,13e" filled="f" strokecolor="#030" strokeweight=".95pt">
                  <v:path arrowok="t" o:connecttype="custom" o:connectlocs="0,7;142,0;284,0;568,13" o:connectangles="0,0,0,0"/>
                </v:shape>
                <v:shape id="Freeform 47" o:spid="_x0000_s1072" style="position:absolute;left:5418;top:1987;width:574;height:58;visibility:visible;mso-wrap-style:square;v-text-anchor:top" coordsize="574,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94gsQA&#10;AADbAAAADwAAAGRycy9kb3ducmV2LnhtbESPQWvCQBSE7wX/w/KE3upGKanEbETUUntroxdvz+xz&#10;E8y+Ddmtpv++Kwg9DjPzDZMvB9uKK/W+caxgOklAEFdON2wUHPbvL3MQPiBrbB2Tgl/ysCxGTzlm&#10;2t34m65lMCJC2GeooA6hy6T0VU0W/cR1xNE7u95iiLI3Uvd4i3DbylmSpNJiw3Ghxo7WNVWX8scq&#10;+HzdfR23b5sPY7bp2s/3yaktD0o9j4fVAkSgIfyHH+2dVpBO4f4l/gBZ/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eILEAAAA2wAAAA8AAAAAAAAAAAAAAAAAmAIAAGRycy9k&#10;b3ducmV2LnhtbFBLBQYAAAAABAAEAPUAAACJAwAAAAA=&#10;" path="m,l142,13,284,26,574,58e" filled="f" strokecolor="#030" strokeweight=".95pt">
                  <v:path arrowok="t" o:connecttype="custom" o:connectlocs="0,0;142,13;284,26;574,58" o:connectangles="0,0,0,0"/>
                </v:shape>
                <v:shape id="Freeform 48" o:spid="_x0000_s1073" style="position:absolute;left:845;top:427;width:5147;height:2201;visibility:visible;mso-wrap-style:square;v-text-anchor:top" coordsize="798,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r38cAA&#10;AADbAAAADwAAAGRycy9kb3ducmV2LnhtbESPzYrCMBSF94LvEK7gbkxUKEM1ighKF7PRGdDlpbm2&#10;1eamNBlb394IgsvD+fk4y3Vva3Gn1leONUwnCgRx7kzFhYa/393XNwgfkA3WjknDgzysV8PBElPj&#10;Oj7Q/RgKEUfYp6ihDKFJpfR5SRb9xDXE0bu41mKIsi2kabGL47aWM6USabHiSCixoW1J+e34byPk&#10;pLbJI1PFj6erP3cqm+/PmdbjUb9ZgAjUh0/43c6MhmQGry/xB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qr38cAAAADbAAAADwAAAAAAAAAAAAAAAACYAgAAZHJzL2Rvd25y&#10;ZXYueG1sUEsFBgAAAAAEAAQA9QAAAIUDAAAAAA==&#10;" path="m,340l89,321r88,-16l266,278r89,-35l443,188r89,-50l621,81,709,32,798,e" filled="f" strokecolor="#36f" strokeweight=".95pt">
                  <v:path arrowok="t" o:connecttype="custom" o:connectlocs="0,2201;574,2078;1142,1974;1716,1800;2290,1573;2857,1217;3431,893;4005,524;4573,207;5147,0" o:connectangles="0,0,0,0,0,0,0,0,0,0"/>
                </v:shape>
                <v:rect id="Rectangle 49" o:spid="_x0000_s1074" style="position:absolute;left:6120;top:1621;width:344;height:20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rsidR="006E222F" w:rsidRDefault="006E222F" w:rsidP="00BE36AE">
                        <w:r>
                          <w:rPr>
                            <w:color w:val="000000"/>
                            <w:sz w:val="14"/>
                            <w:szCs w:val="14"/>
                          </w:rPr>
                          <w:t>65-69</w:t>
                        </w:r>
                      </w:p>
                    </w:txbxContent>
                  </v:textbox>
                </v:rect>
                <v:rect id="Rectangle 50" o:spid="_x0000_s1075" style="position:absolute;left:6120;top:181;width:224;height:20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6E222F" w:rsidRDefault="006E222F" w:rsidP="00BE36AE">
                        <w:r>
                          <w:rPr>
                            <w:color w:val="000000"/>
                            <w:sz w:val="14"/>
                            <w:szCs w:val="14"/>
                          </w:rPr>
                          <w:t>80+</w:t>
                        </w:r>
                      </w:p>
                    </w:txbxContent>
                  </v:textbox>
                </v:rect>
                <v:rect id="Rectangle 51" o:spid="_x0000_s1076" style="position:absolute;left:6120;top:1981;width:344;height:20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6E222F" w:rsidRDefault="006E222F" w:rsidP="00BE36AE">
                        <w:r>
                          <w:rPr>
                            <w:color w:val="000000"/>
                            <w:sz w:val="14"/>
                            <w:szCs w:val="14"/>
                          </w:rPr>
                          <w:t>70-74</w:t>
                        </w:r>
                      </w:p>
                    </w:txbxContent>
                  </v:textbox>
                </v:rect>
                <v:rect id="Rectangle 52" o:spid="_x0000_s1077" style="position:absolute;left:6120;top:1800;width:344;height:2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6E222F" w:rsidRDefault="006E222F" w:rsidP="00BE36AE">
                        <w:r>
                          <w:rPr>
                            <w:color w:val="000000"/>
                            <w:sz w:val="14"/>
                            <w:szCs w:val="14"/>
                          </w:rPr>
                          <w:t>75-79</w:t>
                        </w:r>
                      </w:p>
                    </w:txbxContent>
                  </v:textbox>
                </v:rect>
                <v:rect id="Rectangle 53" o:spid="_x0000_s1078" style="position:absolute;left:540;top:3060;width:78;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MZCcUA&#10;AADbAAAADwAAAGRycy9kb3ducmV2LnhtbESPQWvCQBSE7wX/w/KE3pqNPURNXUW0osdWhbS3R/Y1&#10;CWbfhuyapP76bkHwOMzMN8xiNZhadNS6yrKCSRSDIM6trrhQcD7tXmYgnEfWWFsmBb/kYLUcPS0w&#10;1bbnT+qOvhABwi5FBaX3TSqly0sy6CLbEAfvx7YGfZBtIXWLfYCbWr7GcSINVhwWSmxoU1J+OV6N&#10;gv2sWX8d7K0v6vfvffaRzbenuVfqeTys30B4GvwjfG8ftIJkCv9fw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ExkJxQAAANsAAAAPAAAAAAAAAAAAAAAAAJgCAABkcnMv&#10;ZG93bnJldi54bWxQSwUGAAAAAAQABAD1AAAAigMAAAAA&#10;" filled="f" stroked="f">
                  <v:textbox inset="0,0,0,0">
                    <w:txbxContent>
                      <w:p w:rsidR="006E222F" w:rsidRDefault="006E222F" w:rsidP="00BE36AE">
                        <w:r>
                          <w:rPr>
                            <w:color w:val="000000"/>
                            <w:sz w:val="14"/>
                            <w:szCs w:val="14"/>
                          </w:rPr>
                          <w:t>0</w:t>
                        </w:r>
                      </w:p>
                    </w:txbxContent>
                  </v:textbox>
                </v:rect>
                <v:rect id="Rectangle 54" o:spid="_x0000_s1079" style="position:absolute;left:180;top:2700;width:450;height:34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IGcEA&#10;AADbAAAADwAAAGRycy9kb3ducmV2LnhtbERP3WrCMBS+H+wdwhl4N9OOUWY1lk4YysALqw9waI5N&#10;XXNSk0y7t18uBrv8+P5X1WQHcSMfescK8nkGgrh1uudOwen48fwGIkRkjYNjUvBDAar148MKS+3u&#10;fKBbEzuRQjiUqMDEOJZShtaQxTB3I3Hizs5bjAn6TmqP9xRuB/mSZYW02HNqMDjSxlD71XxbBfS+&#10;PSwudTB76fOQ7z+Lxev2qtTsaaqXICJN8V/8595pBUUam76kHyD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niBnBAAAA2wAAAA8AAAAAAAAAAAAAAAAAmAIAAGRycy9kb3du&#10;cmV2LnhtbFBLBQYAAAAABAAEAPUAAACGAwAAAAA=&#10;" filled="f" stroked="f">
                  <v:textbox inset="0,0,0,0">
                    <w:txbxContent>
                      <w:p w:rsidR="006E222F" w:rsidRDefault="006E222F" w:rsidP="00BE36AE">
                        <w:r>
                          <w:rPr>
                            <w:color w:val="000000"/>
                            <w:sz w:val="14"/>
                            <w:szCs w:val="14"/>
                          </w:rPr>
                          <w:t>100000</w:t>
                        </w:r>
                      </w:p>
                    </w:txbxContent>
                  </v:textbox>
                </v:rect>
                <v:rect id="Rectangle 55" o:spid="_x0000_s1080" style="position:absolute;left:180;top:2160;width:450;height:31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stgsMA&#10;AADbAAAADwAAAGRycy9kb3ducmV2LnhtbESPUWvCMBSF3wf+h3CFvc20MortjKKCOAY+6PYDLs1d&#10;0625qUnU7t8vguDj4ZzzHc58OdhOXMiH1rGCfJKBIK6dbrlR8PW5fZmBCBFZY+eYFPxRgOVi9DTH&#10;SrsrH+hyjI1IEA4VKjAx9pWUoTZkMUxcT5y8b+ctxiR9I7XHa4LbTk6zrJAWW04LBnvaGKp/j2er&#10;gNa7Q/mzCmYvfR7y/UdRvu5OSj2Ph9UbiEhDfITv7XetoCjh9iX9AL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KstgsMAAADbAAAADwAAAAAAAAAAAAAAAACYAgAAZHJzL2Rv&#10;d25yZXYueG1sUEsFBgAAAAAEAAQA9QAAAIgDAAAAAA==&#10;" filled="f" stroked="f">
                  <v:textbox inset="0,0,0,0">
                    <w:txbxContent>
                      <w:p w:rsidR="006E222F" w:rsidRDefault="006E222F" w:rsidP="00BE36AE">
                        <w:r>
                          <w:rPr>
                            <w:color w:val="000000"/>
                            <w:sz w:val="14"/>
                            <w:szCs w:val="14"/>
                          </w:rPr>
                          <w:t>200000</w:t>
                        </w:r>
                      </w:p>
                    </w:txbxContent>
                  </v:textbox>
                </v:rect>
                <v:rect id="Rectangle 56" o:spid="_x0000_s1081" style="position:absolute;left:180;top:1621;width:450;height:3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SwsAA&#10;AADbAAAADwAAAGRycy9kb3ducmV2LnhtbERPzWoCMRC+F3yHMEJvNbsitq5GUUEsggetDzBsxs3q&#10;ZrImUbdv3xyEHj++/9mis414kA+1YwX5IANBXDpdc6Xg9LP5+AIRIrLGxjEp+KUAi3nvbYaFdk8+&#10;0OMYK5FCOBSowMTYFlKG0pDFMHAtceLOzluMCfpKao/PFG4bOcyysbRYc2ow2NLaUHk93q0CWm0P&#10;k8symL30ecj3u/FktL0p9d7vllMQkbr4L365v7WCz7Q+fUk/QM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gSwsAAAADbAAAADwAAAAAAAAAAAAAAAACYAgAAZHJzL2Rvd25y&#10;ZXYueG1sUEsFBgAAAAAEAAQA9QAAAIUDAAAAAA==&#10;" filled="f" stroked="f">
                  <v:textbox inset="0,0,0,0">
                    <w:txbxContent>
                      <w:p w:rsidR="006E222F" w:rsidRDefault="006E222F" w:rsidP="00BE36AE">
                        <w:r>
                          <w:rPr>
                            <w:color w:val="000000"/>
                            <w:sz w:val="14"/>
                            <w:szCs w:val="14"/>
                          </w:rPr>
                          <w:t>300000</w:t>
                        </w:r>
                      </w:p>
                    </w:txbxContent>
                  </v:textbox>
                </v:rect>
                <v:rect id="Rectangle 57" o:spid="_x0000_s1082" style="position:absolute;left:180;top:1080;width:450;height:44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S3WcMA&#10;AADbAAAADwAAAGRycy9kb3ducmV2LnhtbESP3WoCMRSE7wu+QzhC72p2i1hdjWIFsRS88OcBDpvj&#10;ZnVzsiZRt2/fFApeDjPzDTNbdLYRd/KhdqwgH2QgiEuna64UHA/rtzGIEJE1No5JwQ8FWMx7LzMs&#10;tHvwju77WIkE4VCgAhNjW0gZSkMWw8C1xMk7OW8xJukrqT0+Etw28j3LRtJizWnBYEsrQ+Vlf7MK&#10;6HOzm5yXwWylz0O+/R5NhpurUq/9bjkFEamLz/B/+0sr+Mjh70v6AX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S3WcMAAADbAAAADwAAAAAAAAAAAAAAAACYAgAAZHJzL2Rv&#10;d25yZXYueG1sUEsFBgAAAAAEAAQA9QAAAIgDAAAAAA==&#10;" filled="f" stroked="f">
                  <v:textbox inset="0,0,0,0">
                    <w:txbxContent>
                      <w:p w:rsidR="006E222F" w:rsidRDefault="006E222F" w:rsidP="00BE36AE">
                        <w:r>
                          <w:rPr>
                            <w:color w:val="000000"/>
                            <w:sz w:val="14"/>
                            <w:szCs w:val="14"/>
                          </w:rPr>
                          <w:t>400000</w:t>
                        </w:r>
                      </w:p>
                    </w:txbxContent>
                  </v:textbox>
                </v:rect>
                <v:rect id="Rectangle 58" o:spid="_x0000_s1083" style="position:absolute;left:180;top:541;width:450;height:3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YpLsQA&#10;AADbAAAADwAAAGRycy9kb3ducmV2LnhtbESPzWrDMBCE74W8g9hAb43sUPLjRDZJoaQUckjaB1is&#10;jeXWWjmSmrhvXxUCOQ4z8w2zrgbbiQv50DpWkE8yEMS10y03Cj4/Xp8WIEJE1tg5JgW/FKAqRw9r&#10;LLS78oEux9iIBOFQoAITY19IGWpDFsPE9cTJOzlvMSbpG6k9XhPcdnKaZTNpseW0YLCnF0P19/HH&#10;KqDt7rD82gSzlz4P+f59tnzenZV6HA+bFYhIQ7yHb+03rWA+hf8v6QfI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WKS7EAAAA2wAAAA8AAAAAAAAAAAAAAAAAmAIAAGRycy9k&#10;b3ducmV2LnhtbFBLBQYAAAAABAAEAPUAAACJAwAAAAA=&#10;" filled="f" stroked="f">
                  <v:textbox inset="0,0,0,0">
                    <w:txbxContent>
                      <w:p w:rsidR="006E222F" w:rsidRDefault="006E222F" w:rsidP="00BE36AE">
                        <w:r>
                          <w:rPr>
                            <w:color w:val="000000"/>
                            <w:sz w:val="14"/>
                            <w:szCs w:val="14"/>
                          </w:rPr>
                          <w:t>500000</w:t>
                        </w:r>
                      </w:p>
                    </w:txbxContent>
                  </v:textbox>
                </v:rect>
                <v:rect id="Rectangle 59" o:spid="_x0000_s1084" style="position:absolute;left:180;width:450;height:39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qMtcQA&#10;AADbAAAADwAAAGRycy9kb3ducmV2LnhtbESP3WoCMRSE7wt9h3CE3tXs1mJ1NYoVilLwwp8HOGyO&#10;m9XNyTZJdX17IxR6OczMN8x03tlGXMiH2rGCvJ+BIC6drrlScNh/vY5AhIissXFMCm4UYD57fppi&#10;od2Vt3TZxUokCIcCFZgY20LKUBqyGPquJU7e0XmLMUlfSe3xmuC2kW9ZNpQWa04LBltaGirPu1+r&#10;gD5X2/FpEcxG+jzkm+/h+H31o9RLr1tMQETq4n/4r73WCj4G8PiSfoC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ajLXEAAAA2wAAAA8AAAAAAAAAAAAAAAAAmAIAAGRycy9k&#10;b3ducmV2LnhtbFBLBQYAAAAABAAEAPUAAACJAwAAAAA=&#10;" filled="f" stroked="f">
                  <v:textbox inset="0,0,0,0">
                    <w:txbxContent>
                      <w:p w:rsidR="006E222F" w:rsidRDefault="006E222F" w:rsidP="00BE36AE">
                        <w:r>
                          <w:rPr>
                            <w:color w:val="000000"/>
                            <w:sz w:val="14"/>
                            <w:szCs w:val="14"/>
                          </w:rPr>
                          <w:t>600000</w:t>
                        </w:r>
                      </w:p>
                    </w:txbxContent>
                  </v:textbox>
                </v:rect>
                <v:rect id="Rectangle 60" o:spid="_x0000_s1085" style="position:absolute;left:690;top:3443;width:300;height:2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L1IcEA&#10;AADbAAAADwAAAGRycy9kb3ducmV2LnhtbESPzYoCMRCE74LvEFrwphlF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S9SHBAAAA2wAAAA8AAAAAAAAAAAAAAAAAmAIAAGRycy9kb3du&#10;cmV2LnhtbFBLBQYAAAAABAAEAPUAAACGAwAAAAA=&#10;" filled="f" stroked="f">
                  <v:textbox style="mso-fit-shape-to-text:t" inset="0,0,0,0">
                    <w:txbxContent>
                      <w:p w:rsidR="006E222F" w:rsidRDefault="006E222F" w:rsidP="00BE36AE">
                        <w:r>
                          <w:rPr>
                            <w:color w:val="000000"/>
                            <w:sz w:val="14"/>
                            <w:szCs w:val="14"/>
                          </w:rPr>
                          <w:t>2006</w:t>
                        </w:r>
                      </w:p>
                    </w:txbxContent>
                  </v:textbox>
                </v:rect>
                <v:rect id="Rectangle 61" o:spid="_x0000_s1086" style="position:absolute;left:1264;top:3443;width:300;height:2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QusEA&#10;AADbAAAADwAAAGRycy9kb3ducmV2LnhtbESPzYoCMRCE74LvEFrwphkFd2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eULrBAAAA2wAAAA8AAAAAAAAAAAAAAAAAmAIAAGRycy9kb3du&#10;cmV2LnhtbFBLBQYAAAAABAAEAPUAAACGAwAAAAA=&#10;" filled="f" stroked="f">
                  <v:textbox style="mso-fit-shape-to-text:t" inset="0,0,0,0">
                    <w:txbxContent>
                      <w:p w:rsidR="006E222F" w:rsidRDefault="006E222F" w:rsidP="00BE36AE">
                        <w:r>
                          <w:rPr>
                            <w:color w:val="000000"/>
                            <w:sz w:val="14"/>
                            <w:szCs w:val="14"/>
                          </w:rPr>
                          <w:t>2011</w:t>
                        </w:r>
                      </w:p>
                    </w:txbxContent>
                  </v:textbox>
                </v:rect>
                <v:rect id="Rectangle 62" o:spid="_x0000_s1087" style="position:absolute;left:1832;top:3443;width:300;height:2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rsidR="006E222F" w:rsidRDefault="006E222F" w:rsidP="00BE36AE">
                        <w:r>
                          <w:rPr>
                            <w:color w:val="000000"/>
                            <w:sz w:val="14"/>
                            <w:szCs w:val="14"/>
                          </w:rPr>
                          <w:t>2016</w:t>
                        </w:r>
                      </w:p>
                    </w:txbxContent>
                  </v:textbox>
                </v:rect>
                <v:rect id="Rectangle 63" o:spid="_x0000_s1088" style="position:absolute;left:2406;top:3443;width:300;height:2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rVsAA&#10;AADbAAAADwAAAGRycy9kb3ducmV2LnhtbESPzYoCMRCE7wu+Q2jB25rRg8poFBEEV7w4+gDNpOcH&#10;k86QRGf27Y2wsMeiqr6iNrvBGvEiH1rHCmbTDARx6XTLtYL77fi9AhEiskbjmBT8UoDddvS1wVy7&#10;nq/0KmItEoRDjgqaGLtcylA2ZDFMXUecvMp5izFJX0vtsU9wa+Q8yxbSYstpocGODg2Vj+JpFchb&#10;cexXhfGZO8+ri/k5XStySk3Gw34NItIQ/8N/7ZNWsFzC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BrVsAAAADbAAAADwAAAAAAAAAAAAAAAACYAgAAZHJzL2Rvd25y&#10;ZXYueG1sUEsFBgAAAAAEAAQA9QAAAIUDAAAAAA==&#10;" filled="f" stroked="f">
                  <v:textbox style="mso-fit-shape-to-text:t" inset="0,0,0,0">
                    <w:txbxContent>
                      <w:p w:rsidR="006E222F" w:rsidRDefault="006E222F" w:rsidP="00BE36AE">
                        <w:r>
                          <w:rPr>
                            <w:color w:val="000000"/>
                            <w:sz w:val="14"/>
                            <w:szCs w:val="14"/>
                          </w:rPr>
                          <w:t>2021</w:t>
                        </w:r>
                      </w:p>
                    </w:txbxContent>
                  </v:textbox>
                </v:rect>
                <v:rect id="Rectangle 64" o:spid="_x0000_s1089" style="position:absolute;left:2980;top:3443;width:300;height:2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rsidR="006E222F" w:rsidRDefault="006E222F" w:rsidP="00BE36AE">
                        <w:r>
                          <w:rPr>
                            <w:color w:val="000000"/>
                            <w:sz w:val="14"/>
                            <w:szCs w:val="14"/>
                          </w:rPr>
                          <w:t>2026</w:t>
                        </w:r>
                      </w:p>
                    </w:txbxContent>
                  </v:textbox>
                </v:rect>
                <v:rect id="Rectangle 65" o:spid="_x0000_s1090" style="position:absolute;left:3548;top:3443;width:300;height:2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rsidR="006E222F" w:rsidRDefault="006E222F" w:rsidP="00BE36AE">
                        <w:r>
                          <w:rPr>
                            <w:color w:val="000000"/>
                            <w:sz w:val="14"/>
                            <w:szCs w:val="14"/>
                          </w:rPr>
                          <w:t>2031</w:t>
                        </w:r>
                      </w:p>
                    </w:txbxContent>
                  </v:textbox>
                </v:rect>
                <v:rect id="Rectangle 66" o:spid="_x0000_s1091" style="position:absolute;left:4122;top:3443;width:300;height:2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rsidR="006E222F" w:rsidRDefault="006E222F" w:rsidP="00BE36AE">
                        <w:r>
                          <w:rPr>
                            <w:color w:val="000000"/>
                            <w:sz w:val="14"/>
                            <w:szCs w:val="14"/>
                          </w:rPr>
                          <w:t>2036</w:t>
                        </w:r>
                      </w:p>
                    </w:txbxContent>
                  </v:textbox>
                </v:rect>
                <v:rect id="Rectangle 67" o:spid="_x0000_s1092" style="position:absolute;left:4696;top:3443;width:299;height:2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AmnsEA&#10;AADbAAAADwAAAGRycy9kb3ducmV2LnhtbESP3YrCMBSE7xd8h3AE77apXkipRhFB0GVvrPsAh+b0&#10;B5OTkkTbffuNIOzlMDPfMNv9ZI14kg+9YwXLLAdBXDvdc6vg53b6LECEiKzROCYFvxRgv5t9bLHU&#10;buQrPavYigThUKKCLsahlDLUHVkMmRuIk9c4bzEm6VupPY4Jbo1c5flaWuw5LXQ40LGj+l49rAJ5&#10;q05jURmfu69V820u52tDTqnFfDpsQESa4n/43T5rBcUSXl/SD5C7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wJp7BAAAA2wAAAA8AAAAAAAAAAAAAAAAAmAIAAGRycy9kb3du&#10;cmV2LnhtbFBLBQYAAAAABAAEAPUAAACGAwAAAAA=&#10;" filled="f" stroked="f">
                  <v:textbox style="mso-fit-shape-to-text:t" inset="0,0,0,0">
                    <w:txbxContent>
                      <w:p w:rsidR="006E222F" w:rsidRDefault="006E222F" w:rsidP="00BE36AE">
                        <w:r>
                          <w:rPr>
                            <w:color w:val="000000"/>
                            <w:sz w:val="14"/>
                            <w:szCs w:val="14"/>
                          </w:rPr>
                          <w:t>2041</w:t>
                        </w:r>
                      </w:p>
                    </w:txbxContent>
                  </v:textbox>
                </v:rect>
                <v:rect id="Rectangle 68" o:spid="_x0000_s1093" style="position:absolute;left:5263;top:3443;width:299;height:2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K46cEA&#10;AADbAAAADwAAAGRycy9kb3ducmV2LnhtbESP3YrCMBSE7xd8h3AE79Z0eyGlGkUWBF28se4DHJrT&#10;H0xOShJt9+2NIOzlMDPfMJvdZI14kA+9YwVfywwEce10z62C3+vhswARIrJG45gU/FGA3Xb2scFS&#10;u5Ev9KhiKxKEQ4kKuhiHUspQd2QxLN1AnLzGeYsxSd9K7XFMcGtknmUrabHntNDhQN8d1bfqbhXI&#10;a3UYi8r4zP3kzdmcjpeGnFKL+bRfg4g0xf/wu33UCoocXl/SD5Db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iuOnBAAAA2wAAAA8AAAAAAAAAAAAAAAAAmAIAAGRycy9kb3du&#10;cmV2LnhtbFBLBQYAAAAABAAEAPUAAACGAwAAAAA=&#10;" filled="f" stroked="f">
                  <v:textbox style="mso-fit-shape-to-text:t" inset="0,0,0,0">
                    <w:txbxContent>
                      <w:p w:rsidR="006E222F" w:rsidRDefault="006E222F" w:rsidP="00BE36AE">
                        <w:r>
                          <w:rPr>
                            <w:color w:val="000000"/>
                            <w:sz w:val="14"/>
                            <w:szCs w:val="14"/>
                          </w:rPr>
                          <w:t>2046</w:t>
                        </w:r>
                      </w:p>
                    </w:txbxContent>
                  </v:textbox>
                </v:rect>
                <v:rect id="Rectangle 69" o:spid="_x0000_s1094" style="position:absolute;left:5837;top:3443;width:300;height:2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4dcsEA&#10;AADbAAAADwAAAGRycy9kb3ducmV2LnhtbESP3YrCMBSE7xd8h3AE79ZUF5bSNYoIgi7eWPcBDs3p&#10;DyYnJYm2vr0RhL0cZuYbZrUZrRF38qFzrGAxz0AQV0533Cj4u+w/cxAhIms0jknBgwJs1pOPFRba&#10;DXymexkbkSAcClTQxtgXUoaqJYth7nri5NXOW4xJ+kZqj0OCWyOXWfYtLXacFlrsaddSdS1vVoG8&#10;lPshL43P3O+yPpnj4VyTU2o2Hbc/ICKN8T/8bh+0gvwLXl/SD5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uHXLBAAAA2wAAAA8AAAAAAAAAAAAAAAAAmAIAAGRycy9kb3du&#10;cmV2LnhtbFBLBQYAAAAABAAEAPUAAACGAwAAAAA=&#10;" filled="f" stroked="f">
                  <v:textbox style="mso-fit-shape-to-text:t" inset="0,0,0,0">
                    <w:txbxContent>
                      <w:p w:rsidR="006E222F" w:rsidRDefault="006E222F" w:rsidP="00BE36AE">
                        <w:r>
                          <w:rPr>
                            <w:color w:val="000000"/>
                            <w:sz w:val="14"/>
                            <w:szCs w:val="14"/>
                          </w:rPr>
                          <w:t>2051</w:t>
                        </w:r>
                      </w:p>
                    </w:txbxContent>
                  </v:textbox>
                </v:rect>
                <w10:anchorlock/>
              </v:group>
            </w:pict>
          </mc:Fallback>
        </mc:AlternateContent>
      </w:r>
    </w:p>
    <w:p w:rsidR="00BE36AE" w:rsidRDefault="00BE36AE" w:rsidP="00BE3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rsidRPr="00297800">
        <w:t xml:space="preserve">Two reports on the sub-regions economic potential were prepared for SmartGrowth at the outset of the project in 2002. One by </w:t>
      </w:r>
      <w:r w:rsidR="003B0C5B">
        <w:t>BERL</w:t>
      </w:r>
      <w:r w:rsidRPr="00297800">
        <w:t xml:space="preserve">, projected outcomes based on the past Census data. At that time resource allocation did not </w:t>
      </w:r>
      <w:r w:rsidR="003C5DF4">
        <w:t>include</w:t>
      </w:r>
      <w:r w:rsidRPr="00297800">
        <w:t xml:space="preserve"> an analysis of the economy and productivity in the sub-region from an ageing population perspective.</w:t>
      </w:r>
    </w:p>
    <w:p w:rsidR="00BE36AE" w:rsidRPr="00297800" w:rsidRDefault="00BE36AE" w:rsidP="00BE3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both"/>
      </w:pPr>
      <w:r w:rsidRPr="00297800">
        <w:t>Why not ask who will work on the farms in the future, who will manage food production, who will build the houses and supply financial services? McKinl</w:t>
      </w:r>
      <w:r w:rsidR="003C5DF4">
        <w:t>a</w:t>
      </w:r>
      <w:r w:rsidRPr="00297800">
        <w:t>y Douglas did look at future trends, for example, the report highlighted efforts at that time to create a national centre for geronto</w:t>
      </w:r>
      <w:r w:rsidR="003B0C5B">
        <w:t>lo</w:t>
      </w:r>
      <w:r w:rsidRPr="00297800">
        <w:t>gical studies, recognising the opportunity to capitalise on and strengthen the special characteristic of the region as a retirement destination.</w:t>
      </w:r>
    </w:p>
    <w:p w:rsidR="00BE36AE" w:rsidRPr="00297800" w:rsidRDefault="00BE36AE" w:rsidP="00BE36AE">
      <w:pPr>
        <w:spacing w:before="120" w:after="120" w:line="320" w:lineRule="exact"/>
        <w:jc w:val="both"/>
        <w:rPr>
          <w:i/>
        </w:rPr>
      </w:pPr>
      <w:r w:rsidRPr="00297800">
        <w:t xml:space="preserve"> </w:t>
      </w:r>
      <w:r w:rsidRPr="00297800">
        <w:rPr>
          <w:i/>
        </w:rPr>
        <w:t>Turn the Western Bay into an internationally recognised centre of excellence in research, teaching and practice of care for older persons (including support for independent living).</w:t>
      </w:r>
      <w:r w:rsidRPr="00297800">
        <w:rPr>
          <w:rStyle w:val="FootnoteReference"/>
          <w:i/>
        </w:rPr>
        <w:footnoteReference w:id="60"/>
      </w:r>
    </w:p>
    <w:p w:rsidR="00BE36AE" w:rsidRPr="00297800" w:rsidRDefault="00BE36AE" w:rsidP="00BE3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rsidRPr="00297800">
        <w:t xml:space="preserve">Ensuring that the Western Bay generally remains a preferred retirement destination will almost certainly be a centrepiece of any economic development strategy for the sub-region as it brings wealth and culture and a volunteer social support infrastructure to the local economy. A growing recognition of the impact of population ageing on the Western Bay of Plenty sub-region, and given the incomplete action within the SmartGrowth Strategy, together with the potential for innovation should bring the ‘centre of excellence topic to the table again to reflect the Productivity Commission adage, </w:t>
      </w:r>
      <w:r w:rsidRPr="00297800">
        <w:rPr>
          <w:i/>
        </w:rPr>
        <w:t xml:space="preserve">creating more from existing resources. </w:t>
      </w:r>
      <w:r w:rsidRPr="00297800">
        <w:t>This point is also is reflected in the work of urban economists such as Ed Glaeser41 and Richard Florida42 that has gained widespread recognition for the idea that it is increasingly the quality of life a city or region can offer that determines its success in economic development.</w:t>
      </w:r>
    </w:p>
    <w:p w:rsidR="00BE36AE" w:rsidRDefault="00BE36AE" w:rsidP="00BE3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rsidRPr="00297800">
        <w:t xml:space="preserve">Tourism and global travel are the largest and fastest growing industries in the world. There is opportunity to give more focus to maximize economic outcomes for this region through an age-friendly approach to the industry. Evidence now shows that age-friendly adaptions to tourism really work. Forecasts for the future indicate the growth of tourism will continue as </w:t>
      </w:r>
      <w:r w:rsidR="003B0C5B" w:rsidRPr="00297800">
        <w:t>population’s</w:t>
      </w:r>
      <w:r w:rsidRPr="00297800">
        <w:t xml:space="preserve"> age and more people will have the time, inclination and income to travel.  The opportunity is evidenced today as this region expects 84 cruise ships to anchor here in the coming summer. </w:t>
      </w:r>
    </w:p>
    <w:p w:rsidR="001F53C3" w:rsidRPr="00297800" w:rsidRDefault="001F53C3" w:rsidP="001F53C3">
      <w:pPr>
        <w:spacing w:before="120" w:after="120" w:line="320" w:lineRule="exact"/>
        <w:jc w:val="both"/>
      </w:pPr>
      <w:r w:rsidRPr="00297800">
        <w:t>Commitment to real</w:t>
      </w:r>
      <w:r>
        <w:t>ising the economic potential, “</w:t>
      </w:r>
      <w:r w:rsidRPr="00297800">
        <w:t xml:space="preserve">turning grey into gold,” of an ageing Australia was indicated through a Government nationwide consultation process, detailed reporting and development of a Government action plan with a goal to “reap the opportunities that arise from a larger and more active community of seniors.” The report </w:t>
      </w:r>
      <w:r w:rsidRPr="00297800">
        <w:rPr>
          <w:i/>
        </w:rPr>
        <w:t>Realising the</w:t>
      </w:r>
      <w:r w:rsidRPr="00297800">
        <w:t xml:space="preserve"> </w:t>
      </w:r>
      <w:r w:rsidRPr="00297800">
        <w:rPr>
          <w:i/>
        </w:rPr>
        <w:t>Economic Potential of Senior Australians</w:t>
      </w:r>
      <w:r w:rsidRPr="00297800">
        <w:t xml:space="preserve"> 2011 details strategic solutions to major issues such as housing, participation, lifelong learning, active ageing, volunteering and philanthropy and discrimination. It challenges Australians to view population ageing as an opportunity, to become age-friendly. </w:t>
      </w:r>
    </w:p>
    <w:p w:rsidR="001F53C3" w:rsidRDefault="001F53C3" w:rsidP="001F53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rPr>
          <w:i/>
        </w:rPr>
      </w:pPr>
      <w:r w:rsidRPr="00297800">
        <w:rPr>
          <w:i/>
        </w:rPr>
        <w:t xml:space="preserve">The challenge is to re-shape workplaces, communities and society to facilitate the contribution of senior Australians rather than to reinforce outdated approaches that create barriers to their participation and lead to disengagement and social isolation. </w:t>
      </w:r>
    </w:p>
    <w:p w:rsidR="001F53C3" w:rsidRPr="00297800" w:rsidRDefault="001F53C3" w:rsidP="001F53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p>
    <w:p w:rsidR="00234C43" w:rsidRPr="00F864C9" w:rsidRDefault="00234C43" w:rsidP="00234C43">
      <w:pPr>
        <w:pStyle w:val="Heading3"/>
        <w:rPr>
          <w:b/>
        </w:rPr>
      </w:pPr>
      <w:r w:rsidRPr="00F864C9">
        <w:rPr>
          <w:b/>
        </w:rPr>
        <w:t>Harnessing the potential of the social economy</w:t>
      </w:r>
    </w:p>
    <w:p w:rsidR="00BE36AE" w:rsidRPr="00297800" w:rsidRDefault="00BE36AE" w:rsidP="00BE3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rsidRPr="00297800">
        <w:t>The changing demographic structure of low fertility and increased longevity introduces other very relevant social dimensions, not just the power and possibilities of the boomer market. These social factors although principally identified in a study of European tourist potential</w:t>
      </w:r>
      <w:r w:rsidRPr="00297800">
        <w:rPr>
          <w:rStyle w:val="FootnoteReference"/>
        </w:rPr>
        <w:footnoteReference w:id="61"/>
      </w:r>
      <w:r w:rsidRPr="00297800">
        <w:t xml:space="preserve"> have very real ramifications for wider business decision-making, particularly for the SmartGrowth region. </w:t>
      </w:r>
    </w:p>
    <w:p w:rsidR="00BE36AE" w:rsidRPr="00297800" w:rsidRDefault="00BE36AE" w:rsidP="00BE3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pPr>
      <w:r w:rsidRPr="00297800">
        <w:t xml:space="preserve">They include the: </w:t>
      </w:r>
    </w:p>
    <w:p w:rsidR="00BE36AE" w:rsidRPr="00297800" w:rsidRDefault="00BE36AE" w:rsidP="006C231E">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20" w:lineRule="exact"/>
        <w:ind w:left="284" w:hanging="284"/>
        <w:rPr>
          <w:rFonts w:ascii="Arial" w:hAnsi="Arial" w:cs="Arial"/>
        </w:rPr>
      </w:pPr>
      <w:r w:rsidRPr="00297800">
        <w:rPr>
          <w:rFonts w:ascii="Arial" w:hAnsi="Arial" w:cs="Arial"/>
        </w:rPr>
        <w:t>Growing numbers of older-old</w:t>
      </w:r>
    </w:p>
    <w:p w:rsidR="00BE36AE" w:rsidRPr="00297800" w:rsidRDefault="00BE36AE" w:rsidP="006C231E">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20" w:lineRule="exact"/>
        <w:ind w:left="284" w:hanging="284"/>
        <w:rPr>
          <w:rFonts w:ascii="Arial" w:hAnsi="Arial" w:cs="Arial"/>
        </w:rPr>
      </w:pPr>
      <w:r w:rsidRPr="00297800">
        <w:rPr>
          <w:rFonts w:ascii="Arial" w:hAnsi="Arial" w:cs="Arial"/>
        </w:rPr>
        <w:t>Increase in working women and two income earning households</w:t>
      </w:r>
    </w:p>
    <w:p w:rsidR="00BE36AE" w:rsidRPr="00297800" w:rsidRDefault="00BE36AE" w:rsidP="006C231E">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20" w:lineRule="exact"/>
        <w:ind w:left="284" w:hanging="284"/>
        <w:rPr>
          <w:rFonts w:ascii="Arial" w:hAnsi="Arial" w:cs="Arial"/>
        </w:rPr>
      </w:pPr>
      <w:r w:rsidRPr="00297800">
        <w:rPr>
          <w:rFonts w:ascii="Arial" w:hAnsi="Arial" w:cs="Arial"/>
        </w:rPr>
        <w:t>Growing proportion of single adults</w:t>
      </w:r>
    </w:p>
    <w:p w:rsidR="00BE36AE" w:rsidRPr="00297800" w:rsidRDefault="00BE36AE" w:rsidP="006C231E">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20" w:lineRule="exact"/>
        <w:ind w:left="284" w:hanging="284"/>
        <w:rPr>
          <w:rFonts w:ascii="Arial" w:hAnsi="Arial" w:cs="Arial"/>
        </w:rPr>
      </w:pPr>
      <w:r w:rsidRPr="00297800">
        <w:rPr>
          <w:rFonts w:ascii="Arial" w:hAnsi="Arial" w:cs="Arial"/>
        </w:rPr>
        <w:t>Trend towards latter marriage and families</w:t>
      </w:r>
    </w:p>
    <w:p w:rsidR="00BE36AE" w:rsidRPr="00297800" w:rsidRDefault="00BE36AE" w:rsidP="006C231E">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20" w:lineRule="exact"/>
        <w:ind w:left="284" w:hanging="284"/>
        <w:jc w:val="both"/>
        <w:rPr>
          <w:rFonts w:ascii="Arial" w:hAnsi="Arial" w:cs="Arial"/>
        </w:rPr>
      </w:pPr>
      <w:r w:rsidRPr="00297800">
        <w:rPr>
          <w:rFonts w:ascii="Arial" w:hAnsi="Arial" w:cs="Arial"/>
        </w:rPr>
        <w:t xml:space="preserve">Likely faster growth in the number of childless couples </w:t>
      </w:r>
    </w:p>
    <w:p w:rsidR="00BE36AE" w:rsidRDefault="00BE36AE" w:rsidP="006C231E">
      <w:pPr>
        <w:pStyle w:val="ListParagraph"/>
        <w:widowControl w:val="0"/>
        <w:numPr>
          <w:ilvl w:val="0"/>
          <w:numId w:val="1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ind w:left="284" w:hanging="284"/>
        <w:jc w:val="both"/>
        <w:rPr>
          <w:rFonts w:ascii="Arial" w:hAnsi="Arial" w:cs="Arial"/>
        </w:rPr>
      </w:pPr>
      <w:r w:rsidRPr="00297800">
        <w:rPr>
          <w:rFonts w:ascii="Arial" w:hAnsi="Arial" w:cs="Arial"/>
        </w:rPr>
        <w:t xml:space="preserve">Further in this region the demographic dynamics of </w:t>
      </w:r>
      <w:r w:rsidR="00377C67">
        <w:rPr>
          <w:rFonts w:ascii="Arial" w:hAnsi="Arial" w:cs="Arial"/>
        </w:rPr>
        <w:t>Māori</w:t>
      </w:r>
      <w:r w:rsidRPr="00297800">
        <w:rPr>
          <w:rFonts w:ascii="Arial" w:hAnsi="Arial" w:cs="Arial"/>
        </w:rPr>
        <w:t xml:space="preserve"> and Pacifica youthful parenthood and high fertility rate.  </w:t>
      </w:r>
    </w:p>
    <w:p w:rsidR="00BE36AE" w:rsidRDefault="00BE36AE" w:rsidP="00BE3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r w:rsidRPr="00297800">
        <w:t xml:space="preserve">The size and importance of valuing and connecting the social economy sector in SmartGrowth thinking and actions has become evident. Various workshops and a survey have indicated a service under threat. Many non-government agencies make up this sector. As largely volunteer services they express, as do the funding </w:t>
      </w:r>
      <w:r w:rsidR="003B0C5B" w:rsidRPr="00297800">
        <w:t>agencies that</w:t>
      </w:r>
      <w:r w:rsidRPr="00297800">
        <w:t xml:space="preserve"> a collaborative effort is required to continue to provide vital health related, family, youth and aged support related services such as Budg</w:t>
      </w:r>
      <w:r w:rsidR="00F864C9">
        <w:t xml:space="preserve">et Advice, Stroke and </w:t>
      </w:r>
      <w:r w:rsidR="003B0C5B">
        <w:t>Alzheimer</w:t>
      </w:r>
      <w:r w:rsidR="003B0C5B" w:rsidRPr="00297800">
        <w:t>’s</w:t>
      </w:r>
      <w:r w:rsidRPr="00297800">
        <w:t xml:space="preserve"> support.  </w:t>
      </w:r>
      <w:r w:rsidRPr="00F864C9">
        <w:t>It is clear that a new ‘window of opportunity’ needs to be found to address the cost share of this provision.</w:t>
      </w:r>
      <w:r w:rsidRPr="00297800">
        <w:t xml:space="preserve"> The Charities Commission has valued the contribution of this sector to the economy. It is important to note that the health and services sector is a major growth employer of full and part-time work in this region.</w:t>
      </w:r>
    </w:p>
    <w:p w:rsidR="00F864C9" w:rsidRPr="00297800" w:rsidRDefault="00F864C9" w:rsidP="00BE3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320" w:lineRule="exact"/>
        <w:jc w:val="both"/>
      </w:pPr>
    </w:p>
    <w:p w:rsidR="00F864C9" w:rsidRPr="00F864C9" w:rsidRDefault="00F864C9" w:rsidP="00F864C9">
      <w:pPr>
        <w:pStyle w:val="Heading3"/>
        <w:rPr>
          <w:b/>
        </w:rPr>
      </w:pPr>
      <w:r>
        <w:rPr>
          <w:b/>
        </w:rPr>
        <w:t>It’s time to innovate,</w:t>
      </w:r>
      <w:r w:rsidR="0027688E">
        <w:rPr>
          <w:b/>
        </w:rPr>
        <w:t xml:space="preserve"> take</w:t>
      </w:r>
      <w:r>
        <w:rPr>
          <w:b/>
        </w:rPr>
        <w:t xml:space="preserve"> action and change attitudes</w:t>
      </w:r>
    </w:p>
    <w:p w:rsidR="00BE36AE" w:rsidRPr="00297800" w:rsidRDefault="00BE36AE" w:rsidP="00BE36AE">
      <w:pPr>
        <w:spacing w:before="120" w:after="120" w:line="320" w:lineRule="exact"/>
        <w:jc w:val="both"/>
      </w:pPr>
      <w:r w:rsidRPr="00297800">
        <w:t>It is now widely recogni</w:t>
      </w:r>
      <w:r w:rsidR="003C5DF4">
        <w:t>s</w:t>
      </w:r>
      <w:r w:rsidRPr="00297800">
        <w:t>ed that population ageing heralds opportunity. Within the scope of this global mega-trend, there is a highly under valued, little understood locali</w:t>
      </w:r>
      <w:r w:rsidR="003C5DF4">
        <w:t>s</w:t>
      </w:r>
      <w:r w:rsidRPr="00297800">
        <w:t xml:space="preserve">ed climate that limits the opportunity to advance a potential Western Bay of Plenty ‘power trend’ or ‘mega niche.’ </w:t>
      </w:r>
    </w:p>
    <w:p w:rsidR="00BE36AE" w:rsidRPr="00297800" w:rsidRDefault="00BE36AE" w:rsidP="00BE36AE">
      <w:pPr>
        <w:spacing w:before="120" w:after="120" w:line="320" w:lineRule="exact"/>
        <w:jc w:val="both"/>
      </w:pPr>
      <w:r w:rsidRPr="00297800">
        <w:t xml:space="preserve">What are the immediate and thoughtfully considered actions that industry leaders could undertake to innovate and respond to the ageing of the workforce at a local level in the Western Bay of Plenty? There are two key factors relevant to proactively increase </w:t>
      </w:r>
      <w:r w:rsidR="00F864C9">
        <w:t>and future proof</w:t>
      </w:r>
      <w:r w:rsidRPr="00297800">
        <w:t xml:space="preserve"> productivity and economic growth:</w:t>
      </w:r>
    </w:p>
    <w:p w:rsidR="00BE36AE" w:rsidRPr="00297800" w:rsidRDefault="00BE36AE" w:rsidP="006C231E">
      <w:pPr>
        <w:pStyle w:val="ListParagraph"/>
        <w:numPr>
          <w:ilvl w:val="0"/>
          <w:numId w:val="15"/>
        </w:numPr>
        <w:spacing w:after="0" w:line="320" w:lineRule="exact"/>
        <w:ind w:left="284" w:hanging="284"/>
        <w:jc w:val="both"/>
        <w:rPr>
          <w:rFonts w:ascii="Arial" w:hAnsi="Arial" w:cs="Arial"/>
        </w:rPr>
      </w:pPr>
      <w:r w:rsidRPr="00297800">
        <w:rPr>
          <w:rFonts w:ascii="Arial" w:hAnsi="Arial" w:cs="Arial"/>
        </w:rPr>
        <w:t>Adap</w:t>
      </w:r>
      <w:r w:rsidR="00F864C9">
        <w:rPr>
          <w:rFonts w:ascii="Arial" w:hAnsi="Arial" w:cs="Arial"/>
        </w:rPr>
        <w:t>ta</w:t>
      </w:r>
      <w:r w:rsidRPr="00297800">
        <w:rPr>
          <w:rFonts w:ascii="Arial" w:hAnsi="Arial" w:cs="Arial"/>
        </w:rPr>
        <w:t xml:space="preserve">tion. </w:t>
      </w:r>
    </w:p>
    <w:p w:rsidR="00BE36AE" w:rsidRPr="00B5046C" w:rsidRDefault="00BE36AE" w:rsidP="00B5046C">
      <w:pPr>
        <w:pStyle w:val="ListParagraph"/>
        <w:numPr>
          <w:ilvl w:val="0"/>
          <w:numId w:val="21"/>
        </w:numPr>
        <w:spacing w:line="320" w:lineRule="exact"/>
        <w:jc w:val="both"/>
        <w:rPr>
          <w:rFonts w:ascii="Arial" w:hAnsi="Arial" w:cs="Arial"/>
        </w:rPr>
      </w:pPr>
      <w:r w:rsidRPr="00B5046C">
        <w:rPr>
          <w:rFonts w:ascii="Arial" w:hAnsi="Arial" w:cs="Arial"/>
        </w:rPr>
        <w:t>Workplace, work mode and workforce, Adapting and valuing maturity in human resource strategies. Responding to worker shortage in existing industries.</w:t>
      </w:r>
    </w:p>
    <w:p w:rsidR="00BE36AE" w:rsidRPr="00297800" w:rsidRDefault="00BE36AE" w:rsidP="006C231E">
      <w:pPr>
        <w:pStyle w:val="ListParagraph"/>
        <w:numPr>
          <w:ilvl w:val="0"/>
          <w:numId w:val="15"/>
        </w:numPr>
        <w:spacing w:after="0" w:line="320" w:lineRule="exact"/>
        <w:ind w:left="284" w:hanging="284"/>
        <w:jc w:val="both"/>
        <w:rPr>
          <w:rFonts w:ascii="Arial" w:hAnsi="Arial" w:cs="Arial"/>
        </w:rPr>
      </w:pPr>
      <w:r w:rsidRPr="00297800">
        <w:rPr>
          <w:rFonts w:ascii="Arial" w:hAnsi="Arial" w:cs="Arial"/>
        </w:rPr>
        <w:t>Innovation</w:t>
      </w:r>
    </w:p>
    <w:p w:rsidR="00B5046C" w:rsidRPr="00B5046C" w:rsidRDefault="00BE36AE" w:rsidP="00B5046C">
      <w:pPr>
        <w:pStyle w:val="ListParagraph"/>
        <w:numPr>
          <w:ilvl w:val="0"/>
          <w:numId w:val="21"/>
        </w:numPr>
        <w:spacing w:line="320" w:lineRule="exact"/>
        <w:jc w:val="both"/>
        <w:rPr>
          <w:rFonts w:ascii="Arial" w:hAnsi="Arial" w:cs="Arial"/>
        </w:rPr>
      </w:pPr>
      <w:r w:rsidRPr="00B5046C">
        <w:rPr>
          <w:rFonts w:ascii="Arial" w:hAnsi="Arial" w:cs="Arial"/>
        </w:rPr>
        <w:t xml:space="preserve">Responding to a changing ‘bonanza’ consumer market, that seeks independence and quality of life, ‘living-longer-more’. The market also </w:t>
      </w:r>
      <w:r w:rsidR="00F864C9" w:rsidRPr="00B5046C">
        <w:rPr>
          <w:rFonts w:ascii="Arial" w:hAnsi="Arial" w:cs="Arial"/>
        </w:rPr>
        <w:t>i</w:t>
      </w:r>
      <w:r w:rsidRPr="00B5046C">
        <w:rPr>
          <w:rFonts w:ascii="Arial" w:hAnsi="Arial" w:cs="Arial"/>
        </w:rPr>
        <w:t>ncludes more older-old with frailty, home care, age-friendly ageing in place needs, with technology assistance. It is expected that there will be many new products to support the healthcare industry.</w:t>
      </w:r>
    </w:p>
    <w:p w:rsidR="00BE36AE" w:rsidRPr="00B5046C" w:rsidRDefault="00BE36AE" w:rsidP="00B5046C">
      <w:pPr>
        <w:pStyle w:val="ListParagraph"/>
        <w:numPr>
          <w:ilvl w:val="0"/>
          <w:numId w:val="21"/>
        </w:numPr>
        <w:spacing w:line="320" w:lineRule="exact"/>
        <w:jc w:val="both"/>
        <w:rPr>
          <w:rFonts w:ascii="Arial" w:hAnsi="Arial" w:cs="Arial"/>
        </w:rPr>
      </w:pPr>
      <w:r w:rsidRPr="00B5046C">
        <w:rPr>
          <w:rFonts w:ascii="Arial" w:hAnsi="Arial" w:cs="Arial"/>
        </w:rPr>
        <w:t>Innovation in the workplace will be essential to maximi</w:t>
      </w:r>
      <w:r w:rsidR="00F864C9" w:rsidRPr="00B5046C">
        <w:rPr>
          <w:rFonts w:ascii="Arial" w:hAnsi="Arial" w:cs="Arial"/>
        </w:rPr>
        <w:t>s</w:t>
      </w:r>
      <w:r w:rsidRPr="00B5046C">
        <w:rPr>
          <w:rFonts w:ascii="Arial" w:hAnsi="Arial" w:cs="Arial"/>
        </w:rPr>
        <w:t>e ongoing productivity, in a low labour climat</w:t>
      </w:r>
      <w:r w:rsidR="00F864C9" w:rsidRPr="00B5046C">
        <w:rPr>
          <w:rFonts w:ascii="Arial" w:hAnsi="Arial" w:cs="Arial"/>
        </w:rPr>
        <w:t>e</w:t>
      </w:r>
      <w:r w:rsidRPr="00B5046C">
        <w:rPr>
          <w:rFonts w:ascii="Arial" w:hAnsi="Arial" w:cs="Arial"/>
        </w:rPr>
        <w:t>.</w:t>
      </w:r>
    </w:p>
    <w:p w:rsidR="00BE36AE" w:rsidRPr="00297800" w:rsidRDefault="00BE36AE" w:rsidP="00BE36AE">
      <w:pPr>
        <w:spacing w:before="120" w:after="120" w:line="320" w:lineRule="exact"/>
        <w:jc w:val="both"/>
      </w:pPr>
      <w:r w:rsidRPr="00297800">
        <w:t xml:space="preserve">However there is a third factor, referred to earlier, and that is attitude. Research in New Zealand by Davey including other international studies, such as the Rowntree </w:t>
      </w:r>
      <w:r w:rsidR="003B0C5B" w:rsidRPr="00297800">
        <w:t>Foundation;</w:t>
      </w:r>
      <w:r w:rsidRPr="00297800">
        <w:t xml:space="preserve"> indicate that attitudes and principally a denial of ageing on a personal level contributes to policy inaction</w:t>
      </w:r>
      <w:r w:rsidRPr="00297800">
        <w:rPr>
          <w:rStyle w:val="FootnoteReference"/>
        </w:rPr>
        <w:footnoteReference w:id="62"/>
      </w:r>
      <w:r w:rsidRPr="00297800">
        <w:t xml:space="preserve"> and business inertia.</w:t>
      </w:r>
      <w:r w:rsidRPr="00297800">
        <w:rPr>
          <w:rStyle w:val="FootnoteReference"/>
        </w:rPr>
        <w:footnoteReference w:id="63"/>
      </w:r>
      <w:r w:rsidRPr="00297800">
        <w:t xml:space="preserve"> </w:t>
      </w:r>
    </w:p>
    <w:p w:rsidR="00BE36AE" w:rsidRPr="00297800" w:rsidRDefault="00BE36AE" w:rsidP="00BE36AE">
      <w:pPr>
        <w:spacing w:before="120" w:after="120" w:line="320" w:lineRule="exact"/>
        <w:jc w:val="both"/>
      </w:pPr>
      <w:r w:rsidRPr="00297800">
        <w:t>Comparative date is always a helpful window through which to view or review our positioning and place. Japan, known for its high ageing and active ageing policies had a median age of 44.6 years in 2011.</w:t>
      </w:r>
      <w:r w:rsidRPr="00297800">
        <w:rPr>
          <w:rStyle w:val="FootnoteReference"/>
        </w:rPr>
        <w:footnoteReference w:id="64"/>
      </w:r>
      <w:r w:rsidRPr="00297800">
        <w:t xml:space="preserve"> The median age for the SmartGrowth region is projected to reach 44.9 years in 2031 (Tauranga City - 41.7 years, Western Bay of Plenty District Council - 48.1 years).</w:t>
      </w:r>
      <w:r w:rsidRPr="00297800">
        <w:rPr>
          <w:rStyle w:val="FootnoteReference"/>
        </w:rPr>
        <w:footnoteReference w:id="65"/>
      </w:r>
    </w:p>
    <w:p w:rsidR="00BE36AE" w:rsidRPr="00297800" w:rsidRDefault="00BE36AE" w:rsidP="00BE36AE">
      <w:pPr>
        <w:spacing w:before="120" w:after="120" w:line="320" w:lineRule="exact"/>
        <w:jc w:val="both"/>
      </w:pPr>
      <w:r w:rsidRPr="00297800">
        <w:t xml:space="preserve">Efforts to maintain a youthful workforce, to advance incomes, knowledge and skills are critical to the regions economic sustainability, as are strategies to sustain mature workforce participation.  Care should be taken now to ensure that ‘young and old’ do not compete for a share of economic and social investment. Both are vital and economically intertwined in intergenerational family and policy frameworks. </w:t>
      </w:r>
    </w:p>
    <w:p w:rsidR="00BE36AE" w:rsidRPr="00297800" w:rsidRDefault="00BE36AE" w:rsidP="00BE36AE">
      <w:pPr>
        <w:spacing w:line="320" w:lineRule="exact"/>
        <w:jc w:val="both"/>
      </w:pPr>
      <w:r w:rsidRPr="00297800">
        <w:t>The Economist Intelligence Unit 2011 summarises the challenge:</w:t>
      </w:r>
    </w:p>
    <w:p w:rsidR="00BE36AE" w:rsidRPr="00297800" w:rsidRDefault="00BE36AE" w:rsidP="00BE36AE">
      <w:pPr>
        <w:spacing w:before="120" w:after="120" w:line="320" w:lineRule="exact"/>
        <w:jc w:val="both"/>
        <w:rPr>
          <w:i/>
        </w:rPr>
      </w:pPr>
      <w:r w:rsidRPr="00297800">
        <w:rPr>
          <w:i/>
        </w:rPr>
        <w:t>From a business perspective, potential risks and opportunities fall into two distinct spheres: how to deal with an older workforce; and how to revise product and service offerings to older consumers.</w:t>
      </w:r>
    </w:p>
    <w:p w:rsidR="00BE36AE" w:rsidRPr="00297800" w:rsidRDefault="00BE36AE" w:rsidP="00BE36AE">
      <w:pPr>
        <w:spacing w:line="320" w:lineRule="exact"/>
        <w:jc w:val="both"/>
      </w:pPr>
      <w:r w:rsidRPr="00297800">
        <w:t>But, Joe Coughlin CEO of MIT says:</w:t>
      </w:r>
    </w:p>
    <w:p w:rsidR="00BE36AE" w:rsidRPr="00297800" w:rsidRDefault="00FB1EBE" w:rsidP="00BE36AE">
      <w:pPr>
        <w:spacing w:line="320" w:lineRule="exact"/>
        <w:jc w:val="both"/>
        <w:rPr>
          <w:i/>
        </w:rPr>
      </w:pPr>
      <w:r>
        <w:rPr>
          <w:i/>
        </w:rPr>
        <w:t>“</w:t>
      </w:r>
      <w:r w:rsidR="00BE36AE" w:rsidRPr="00297800">
        <w:rPr>
          <w:i/>
        </w:rPr>
        <w:t>People in Europe built beautiful cathedrals when there were few people not because they needed large buildings but because the architects and designers wanted to see if they could…The challenge today is to see if we can design, use technology, behave and invent for life tomorrow.</w:t>
      </w:r>
      <w:r>
        <w:rPr>
          <w:i/>
        </w:rPr>
        <w:t>”</w:t>
      </w:r>
    </w:p>
    <w:p w:rsidR="00BE36AE" w:rsidRDefault="00BE36AE" w:rsidP="0005464C">
      <w:pPr>
        <w:spacing w:line="320" w:lineRule="exact"/>
        <w:jc w:val="both"/>
      </w:pPr>
    </w:p>
    <w:p w:rsidR="00B5046C" w:rsidRDefault="00B5046C" w:rsidP="0005464C">
      <w:pPr>
        <w:spacing w:line="320" w:lineRule="exact"/>
        <w:jc w:val="both"/>
      </w:pPr>
    </w:p>
    <w:p w:rsidR="00B5046C" w:rsidRDefault="00B5046C" w:rsidP="0005464C">
      <w:pPr>
        <w:spacing w:line="320" w:lineRule="exact"/>
        <w:jc w:val="both"/>
      </w:pPr>
    </w:p>
    <w:p w:rsidR="009D0AD4" w:rsidRDefault="009D0AD4" w:rsidP="0005464C">
      <w:pPr>
        <w:spacing w:line="320" w:lineRule="exact"/>
        <w:jc w:val="both"/>
      </w:pPr>
    </w:p>
    <w:p w:rsidR="00FB1EBE" w:rsidRDefault="006E222F" w:rsidP="00A52B3E">
      <w:pPr>
        <w:pStyle w:val="Heading2"/>
        <w:spacing w:before="120" w:after="120" w:line="320" w:lineRule="exact"/>
        <w:rPr>
          <w:u w:val="none"/>
        </w:rPr>
      </w:pPr>
      <w:bookmarkStart w:id="33" w:name="_Toc340245237"/>
      <w:r>
        <w:rPr>
          <w:u w:val="none"/>
        </w:rPr>
        <w:t>Actions for the updated SmartGrowth Strategy</w:t>
      </w:r>
      <w:bookmarkEnd w:id="33"/>
    </w:p>
    <w:tbl>
      <w:tblPr>
        <w:tblStyle w:val="TableGrid"/>
        <w:tblW w:w="9214" w:type="dxa"/>
        <w:tblInd w:w="108" w:type="dxa"/>
        <w:tblLayout w:type="fixed"/>
        <w:tblLook w:val="04A0" w:firstRow="1" w:lastRow="0" w:firstColumn="1" w:lastColumn="0" w:noHBand="0" w:noVBand="1"/>
      </w:tblPr>
      <w:tblGrid>
        <w:gridCol w:w="3544"/>
        <w:gridCol w:w="1418"/>
        <w:gridCol w:w="1417"/>
        <w:gridCol w:w="1276"/>
        <w:gridCol w:w="1559"/>
      </w:tblGrid>
      <w:tr w:rsidR="006E222F" w:rsidRPr="00D2329C" w:rsidTr="006E222F">
        <w:tc>
          <w:tcPr>
            <w:tcW w:w="3544" w:type="dxa"/>
            <w:shd w:val="clear" w:color="auto" w:fill="D9D9D9" w:themeFill="background1" w:themeFillShade="D9"/>
          </w:tcPr>
          <w:p w:rsidR="006E222F" w:rsidRPr="00D2329C" w:rsidRDefault="006E222F" w:rsidP="006E222F">
            <w:pPr>
              <w:pStyle w:val="BodyText"/>
              <w:ind w:left="0"/>
              <w:rPr>
                <w:b/>
                <w:lang w:val="en-NZ"/>
              </w:rPr>
            </w:pPr>
            <w:r w:rsidRPr="00D2329C">
              <w:rPr>
                <w:b/>
                <w:lang w:val="en-NZ"/>
              </w:rPr>
              <w:t>Action</w:t>
            </w:r>
          </w:p>
        </w:tc>
        <w:tc>
          <w:tcPr>
            <w:tcW w:w="1418" w:type="dxa"/>
            <w:shd w:val="clear" w:color="auto" w:fill="D9D9D9" w:themeFill="background1" w:themeFillShade="D9"/>
          </w:tcPr>
          <w:p w:rsidR="006E222F" w:rsidRPr="00D2329C" w:rsidRDefault="006E222F" w:rsidP="006E222F">
            <w:pPr>
              <w:pStyle w:val="BodyText"/>
              <w:ind w:left="0"/>
              <w:rPr>
                <w:b/>
                <w:lang w:val="en-NZ"/>
              </w:rPr>
            </w:pPr>
            <w:r w:rsidRPr="00D2329C">
              <w:rPr>
                <w:b/>
                <w:lang w:val="en-NZ"/>
              </w:rPr>
              <w:t>Lead Agency</w:t>
            </w:r>
          </w:p>
        </w:tc>
        <w:tc>
          <w:tcPr>
            <w:tcW w:w="1417" w:type="dxa"/>
            <w:shd w:val="clear" w:color="auto" w:fill="D9D9D9" w:themeFill="background1" w:themeFillShade="D9"/>
          </w:tcPr>
          <w:p w:rsidR="006E222F" w:rsidRPr="00D2329C" w:rsidRDefault="006E222F" w:rsidP="006E222F">
            <w:pPr>
              <w:pStyle w:val="BodyText"/>
              <w:ind w:left="0"/>
              <w:rPr>
                <w:b/>
                <w:lang w:val="en-NZ"/>
              </w:rPr>
            </w:pPr>
            <w:r w:rsidRPr="00D2329C">
              <w:rPr>
                <w:b/>
                <w:lang w:val="en-NZ"/>
              </w:rPr>
              <w:t>Time</w:t>
            </w:r>
          </w:p>
        </w:tc>
        <w:tc>
          <w:tcPr>
            <w:tcW w:w="1276" w:type="dxa"/>
            <w:shd w:val="clear" w:color="auto" w:fill="D9D9D9" w:themeFill="background1" w:themeFillShade="D9"/>
          </w:tcPr>
          <w:p w:rsidR="006E222F" w:rsidRPr="00D2329C" w:rsidRDefault="006E222F" w:rsidP="006E222F">
            <w:pPr>
              <w:pStyle w:val="BodyText"/>
              <w:ind w:left="0"/>
              <w:rPr>
                <w:b/>
                <w:lang w:val="en-NZ"/>
              </w:rPr>
            </w:pPr>
            <w:r w:rsidRPr="00D2329C">
              <w:rPr>
                <w:b/>
                <w:lang w:val="en-NZ"/>
              </w:rPr>
              <w:t xml:space="preserve">Funding </w:t>
            </w:r>
          </w:p>
        </w:tc>
        <w:tc>
          <w:tcPr>
            <w:tcW w:w="1559" w:type="dxa"/>
            <w:shd w:val="clear" w:color="auto" w:fill="D9D9D9" w:themeFill="background1" w:themeFillShade="D9"/>
          </w:tcPr>
          <w:p w:rsidR="006E222F" w:rsidRPr="00D2329C" w:rsidRDefault="006E222F" w:rsidP="006E222F">
            <w:pPr>
              <w:pStyle w:val="BodyText"/>
              <w:ind w:left="0"/>
              <w:rPr>
                <w:b/>
                <w:lang w:val="en-NZ"/>
              </w:rPr>
            </w:pPr>
            <w:r w:rsidRPr="00D2329C">
              <w:rPr>
                <w:b/>
                <w:lang w:val="en-NZ"/>
              </w:rPr>
              <w:t>Measure of Success</w:t>
            </w:r>
          </w:p>
        </w:tc>
      </w:tr>
      <w:tr w:rsidR="006E222F" w:rsidTr="006E222F">
        <w:trPr>
          <w:trHeight w:val="2731"/>
        </w:trPr>
        <w:tc>
          <w:tcPr>
            <w:tcW w:w="3544" w:type="dxa"/>
          </w:tcPr>
          <w:p w:rsidR="006E222F" w:rsidRPr="006923EA" w:rsidRDefault="006E222F" w:rsidP="006E222F">
            <w:pPr>
              <w:pStyle w:val="Heading3"/>
              <w:numPr>
                <w:ilvl w:val="0"/>
                <w:numId w:val="33"/>
              </w:numPr>
              <w:spacing w:before="120" w:after="120" w:line="320" w:lineRule="exact"/>
              <w:ind w:left="318" w:hanging="284"/>
              <w:jc w:val="both"/>
            </w:pPr>
            <w:r>
              <w:t>That the revised SmartGrowth Plan includes as an action the progression of a sub-regional economic development strategy that i</w:t>
            </w:r>
            <w:r w:rsidRPr="00CA754A">
              <w:t>dentifies</w:t>
            </w:r>
            <w:r>
              <w:t xml:space="preserve"> key economic </w:t>
            </w:r>
            <w:r w:rsidRPr="00CA754A">
              <w:t>development opportunities as a result of population ageing and analyse the implications for the work force;</w:t>
            </w:r>
          </w:p>
        </w:tc>
        <w:tc>
          <w:tcPr>
            <w:tcW w:w="1418" w:type="dxa"/>
          </w:tcPr>
          <w:p w:rsidR="006E222F" w:rsidRDefault="006E222F" w:rsidP="006E222F">
            <w:pPr>
              <w:pStyle w:val="BodyText"/>
              <w:ind w:left="0"/>
              <w:rPr>
                <w:lang w:val="en-NZ"/>
              </w:rPr>
            </w:pPr>
            <w:r>
              <w:rPr>
                <w:lang w:val="en-NZ"/>
              </w:rPr>
              <w:t>Smart</w:t>
            </w:r>
          </w:p>
          <w:p w:rsidR="006E222F" w:rsidRDefault="006E222F" w:rsidP="006E222F">
            <w:pPr>
              <w:pStyle w:val="BodyText"/>
              <w:ind w:left="0"/>
              <w:rPr>
                <w:lang w:val="en-NZ"/>
              </w:rPr>
            </w:pPr>
            <w:r>
              <w:rPr>
                <w:lang w:val="en-NZ"/>
              </w:rPr>
              <w:t>Growth</w:t>
            </w:r>
          </w:p>
        </w:tc>
        <w:tc>
          <w:tcPr>
            <w:tcW w:w="1417" w:type="dxa"/>
          </w:tcPr>
          <w:p w:rsidR="006E222F" w:rsidRDefault="006E222F" w:rsidP="006E222F">
            <w:pPr>
              <w:pStyle w:val="BodyText"/>
              <w:ind w:left="0"/>
              <w:rPr>
                <w:lang w:val="en-NZ"/>
              </w:rPr>
            </w:pPr>
            <w:r>
              <w:rPr>
                <w:lang w:val="en-NZ"/>
              </w:rPr>
              <w:t>Medium</w:t>
            </w:r>
          </w:p>
        </w:tc>
        <w:tc>
          <w:tcPr>
            <w:tcW w:w="1276" w:type="dxa"/>
          </w:tcPr>
          <w:p w:rsidR="006E222F" w:rsidRDefault="006E222F" w:rsidP="006E222F">
            <w:pPr>
              <w:pStyle w:val="BodyText"/>
              <w:ind w:left="0"/>
              <w:rPr>
                <w:lang w:val="en-NZ"/>
              </w:rPr>
            </w:pPr>
            <w:r>
              <w:rPr>
                <w:lang w:val="en-NZ"/>
              </w:rPr>
              <w:t>Priority 1</w:t>
            </w:r>
          </w:p>
        </w:tc>
        <w:tc>
          <w:tcPr>
            <w:tcW w:w="1559" w:type="dxa"/>
          </w:tcPr>
          <w:p w:rsidR="006E222F" w:rsidRDefault="006E222F" w:rsidP="006E222F">
            <w:pPr>
              <w:pStyle w:val="BodyText"/>
              <w:ind w:left="0"/>
              <w:rPr>
                <w:lang w:val="en-NZ"/>
              </w:rPr>
            </w:pPr>
            <w:r>
              <w:rPr>
                <w:lang w:val="en-NZ"/>
              </w:rPr>
              <w:t>Strategy developed</w:t>
            </w:r>
          </w:p>
        </w:tc>
      </w:tr>
      <w:tr w:rsidR="006E222F" w:rsidTr="006E222F">
        <w:tc>
          <w:tcPr>
            <w:tcW w:w="3544" w:type="dxa"/>
          </w:tcPr>
          <w:p w:rsidR="006E222F" w:rsidRDefault="006E222F" w:rsidP="006E222F">
            <w:pPr>
              <w:pStyle w:val="Heading3"/>
              <w:numPr>
                <w:ilvl w:val="0"/>
                <w:numId w:val="0"/>
              </w:numPr>
              <w:spacing w:before="120" w:after="120" w:line="320" w:lineRule="exact"/>
              <w:jc w:val="both"/>
            </w:pPr>
            <w:r>
              <w:t>That SmartGrowth and the Tertiary Education Partnership:</w:t>
            </w:r>
          </w:p>
          <w:p w:rsidR="006E222F" w:rsidRDefault="006E222F" w:rsidP="006E222F">
            <w:pPr>
              <w:pStyle w:val="ListParagraph"/>
              <w:numPr>
                <w:ilvl w:val="0"/>
                <w:numId w:val="33"/>
              </w:numPr>
              <w:spacing w:before="120" w:after="120" w:line="320" w:lineRule="exact"/>
              <w:ind w:left="318" w:hanging="284"/>
              <w:rPr>
                <w:rFonts w:ascii="Arial" w:hAnsi="Arial" w:cs="Arial"/>
                <w:lang w:val="en-GB"/>
              </w:rPr>
            </w:pPr>
            <w:r w:rsidRPr="000321BB">
              <w:rPr>
                <w:rFonts w:ascii="Arial" w:hAnsi="Arial" w:cs="Arial"/>
                <w:lang w:val="en-GB"/>
              </w:rPr>
              <w:t>With support from the Bay of Plenty District Health Board establish an ageing centre of excellence to foster health, social and economic innovation that capitalises on the unique ageing demographic of the sub-region including an innovation and research fund;</w:t>
            </w:r>
          </w:p>
          <w:p w:rsidR="006E222F" w:rsidRPr="000321BB" w:rsidRDefault="006E222F" w:rsidP="006E222F">
            <w:pPr>
              <w:pStyle w:val="ListParagraph"/>
              <w:spacing w:before="120" w:after="120" w:line="320" w:lineRule="exact"/>
              <w:ind w:left="318"/>
              <w:rPr>
                <w:rFonts w:ascii="Arial" w:hAnsi="Arial" w:cs="Arial"/>
                <w:lang w:val="en-GB"/>
              </w:rPr>
            </w:pPr>
          </w:p>
          <w:p w:rsidR="006E222F" w:rsidRDefault="006E222F" w:rsidP="006E222F">
            <w:pPr>
              <w:pStyle w:val="ListParagraph"/>
              <w:numPr>
                <w:ilvl w:val="0"/>
                <w:numId w:val="33"/>
              </w:numPr>
              <w:spacing w:before="120" w:after="120" w:line="320" w:lineRule="exact"/>
              <w:ind w:left="318" w:hanging="284"/>
              <w:rPr>
                <w:rFonts w:ascii="Arial" w:hAnsi="Arial" w:cs="Arial"/>
                <w:lang w:val="en-GB"/>
              </w:rPr>
            </w:pPr>
            <w:r w:rsidRPr="000321BB">
              <w:rPr>
                <w:rFonts w:ascii="Arial" w:hAnsi="Arial" w:cs="Arial"/>
                <w:lang w:val="en-GB"/>
              </w:rPr>
              <w:t>Ensure training and development programmes give consideration to the impact of population ageing on the local economy</w:t>
            </w:r>
          </w:p>
          <w:p w:rsidR="006E222F" w:rsidRDefault="006E222F" w:rsidP="006E222F">
            <w:pPr>
              <w:pStyle w:val="ListParagraph"/>
              <w:spacing w:before="120" w:after="120" w:line="320" w:lineRule="exact"/>
              <w:rPr>
                <w:rFonts w:ascii="Arial" w:hAnsi="Arial" w:cs="Arial"/>
                <w:lang w:val="en-GB"/>
              </w:rPr>
            </w:pPr>
          </w:p>
          <w:p w:rsidR="006E222F" w:rsidRDefault="006E222F" w:rsidP="006E222F">
            <w:pPr>
              <w:pStyle w:val="ListParagraph"/>
              <w:spacing w:before="120" w:after="120" w:line="320" w:lineRule="exact"/>
              <w:rPr>
                <w:rFonts w:ascii="Arial" w:hAnsi="Arial" w:cs="Arial"/>
                <w:lang w:val="en-GB"/>
              </w:rPr>
            </w:pPr>
          </w:p>
          <w:p w:rsidR="006E222F" w:rsidRDefault="006E222F" w:rsidP="006E222F">
            <w:pPr>
              <w:pStyle w:val="ListParagraph"/>
              <w:spacing w:before="120" w:after="120" w:line="320" w:lineRule="exact"/>
              <w:rPr>
                <w:rFonts w:ascii="Arial" w:hAnsi="Arial" w:cs="Arial"/>
                <w:lang w:val="en-GB"/>
              </w:rPr>
            </w:pPr>
          </w:p>
          <w:p w:rsidR="006E222F" w:rsidRPr="000321BB" w:rsidRDefault="006E222F" w:rsidP="006E222F">
            <w:pPr>
              <w:pStyle w:val="ListParagraph"/>
              <w:numPr>
                <w:ilvl w:val="0"/>
                <w:numId w:val="33"/>
              </w:numPr>
              <w:spacing w:before="120" w:after="120" w:line="320" w:lineRule="exact"/>
              <w:ind w:left="318" w:hanging="284"/>
              <w:rPr>
                <w:rFonts w:ascii="Arial" w:hAnsi="Arial" w:cs="Arial"/>
                <w:lang w:val="en-GB"/>
              </w:rPr>
            </w:pPr>
            <w:r w:rsidRPr="000321BB">
              <w:rPr>
                <w:rFonts w:ascii="Arial" w:hAnsi="Arial" w:cs="Arial"/>
                <w:lang w:val="en-GB"/>
              </w:rPr>
              <w:t>With support from Iwi M</w:t>
            </w:r>
            <w:r>
              <w:rPr>
                <w:rFonts w:ascii="Arial" w:hAnsi="Arial" w:cs="Arial"/>
                <w:lang w:val="en-GB"/>
              </w:rPr>
              <w:t>ā</w:t>
            </w:r>
            <w:r w:rsidRPr="000321BB">
              <w:rPr>
                <w:rFonts w:ascii="Arial" w:hAnsi="Arial" w:cs="Arial"/>
                <w:lang w:val="en-GB"/>
              </w:rPr>
              <w:t>ori improve the participation of Maori youth in tertiary education that supports local industry, particularly the sciences;</w:t>
            </w:r>
          </w:p>
          <w:p w:rsidR="006E222F" w:rsidRDefault="006E222F" w:rsidP="006E222F">
            <w:pPr>
              <w:rPr>
                <w:lang w:val="en-GB"/>
              </w:rPr>
            </w:pPr>
          </w:p>
          <w:p w:rsidR="006E222F" w:rsidRDefault="006E222F" w:rsidP="006E222F">
            <w:pPr>
              <w:rPr>
                <w:lang w:val="en-GB"/>
              </w:rPr>
            </w:pPr>
          </w:p>
          <w:p w:rsidR="006E222F" w:rsidRPr="00CA754A" w:rsidRDefault="006E222F" w:rsidP="006E222F">
            <w:pPr>
              <w:rPr>
                <w:lang w:val="en-GB"/>
              </w:rPr>
            </w:pPr>
          </w:p>
        </w:tc>
        <w:tc>
          <w:tcPr>
            <w:tcW w:w="1418" w:type="dxa"/>
          </w:tcPr>
          <w:p w:rsidR="006E222F" w:rsidRDefault="006E222F" w:rsidP="006E222F">
            <w:pPr>
              <w:pStyle w:val="BodyText"/>
              <w:spacing w:line="320" w:lineRule="exact"/>
              <w:ind w:left="0"/>
              <w:rPr>
                <w:lang w:val="en-NZ"/>
              </w:rPr>
            </w:pPr>
            <w:r>
              <w:rPr>
                <w:lang w:val="en-NZ"/>
              </w:rPr>
              <w:t>Tertiary Education Partnership with support from BOPDHB</w:t>
            </w:r>
          </w:p>
        </w:tc>
        <w:tc>
          <w:tcPr>
            <w:tcW w:w="1417" w:type="dxa"/>
          </w:tcPr>
          <w:p w:rsidR="006E222F" w:rsidRDefault="006E222F" w:rsidP="006E222F">
            <w:pPr>
              <w:pStyle w:val="BodyText"/>
              <w:ind w:left="0"/>
              <w:rPr>
                <w:lang w:val="en-NZ"/>
              </w:rPr>
            </w:pPr>
            <w:r>
              <w:rPr>
                <w:lang w:val="en-NZ"/>
              </w:rPr>
              <w:t>Medium</w:t>
            </w:r>
          </w:p>
        </w:tc>
        <w:tc>
          <w:tcPr>
            <w:tcW w:w="1276" w:type="dxa"/>
          </w:tcPr>
          <w:p w:rsidR="006E222F" w:rsidRDefault="006E222F" w:rsidP="006E222F">
            <w:pPr>
              <w:pStyle w:val="BodyText"/>
              <w:ind w:left="0"/>
              <w:rPr>
                <w:lang w:val="en-NZ"/>
              </w:rPr>
            </w:pPr>
          </w:p>
        </w:tc>
        <w:tc>
          <w:tcPr>
            <w:tcW w:w="1559" w:type="dxa"/>
          </w:tcPr>
          <w:p w:rsidR="006E222F" w:rsidRDefault="006E222F" w:rsidP="006E222F">
            <w:pPr>
              <w:pStyle w:val="BodyText"/>
              <w:spacing w:line="320" w:lineRule="exact"/>
              <w:ind w:left="0"/>
              <w:rPr>
                <w:lang w:val="en-NZ"/>
              </w:rPr>
            </w:pPr>
            <w:r>
              <w:rPr>
                <w:lang w:val="en-NZ"/>
              </w:rPr>
              <w:t>Ageing Centre of Excellence is established</w:t>
            </w: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r>
              <w:rPr>
                <w:lang w:val="en-NZ"/>
              </w:rPr>
              <w:t xml:space="preserve">Programmes can demonstrate consideration for population ageing impacts </w:t>
            </w: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r>
              <w:rPr>
                <w:lang w:val="en-NZ"/>
              </w:rPr>
              <w:t xml:space="preserve">Rates of Maori youth participation and placement in local full time work improve            </w:t>
            </w:r>
          </w:p>
        </w:tc>
      </w:tr>
      <w:tr w:rsidR="006E222F" w:rsidTr="006E222F">
        <w:tc>
          <w:tcPr>
            <w:tcW w:w="3544" w:type="dxa"/>
          </w:tcPr>
          <w:p w:rsidR="006E222F" w:rsidRDefault="006E222F" w:rsidP="006E222F">
            <w:pPr>
              <w:pStyle w:val="Heading3"/>
              <w:numPr>
                <w:ilvl w:val="0"/>
                <w:numId w:val="0"/>
              </w:numPr>
              <w:spacing w:before="120" w:after="120" w:line="320" w:lineRule="exact"/>
            </w:pPr>
            <w:r w:rsidRPr="00DA7967">
              <w:t xml:space="preserve">That the </w:t>
            </w:r>
            <w:r>
              <w:t>Bay of Plenty R</w:t>
            </w:r>
            <w:r w:rsidRPr="00DA7967">
              <w:t xml:space="preserve">egional </w:t>
            </w:r>
            <w:r>
              <w:t xml:space="preserve">Council </w:t>
            </w:r>
            <w:r w:rsidRPr="00DA7967">
              <w:t>strengthen</w:t>
            </w:r>
            <w:r>
              <w:t>s</w:t>
            </w:r>
            <w:r w:rsidRPr="00DA7967">
              <w:t xml:space="preserve"> its investment in economic development by:</w:t>
            </w:r>
          </w:p>
          <w:p w:rsidR="006E222F" w:rsidRPr="006E222F" w:rsidRDefault="006E222F" w:rsidP="006E222F">
            <w:pPr>
              <w:pStyle w:val="ListParagraph"/>
              <w:numPr>
                <w:ilvl w:val="0"/>
                <w:numId w:val="34"/>
              </w:numPr>
              <w:spacing w:before="120" w:after="120" w:line="320" w:lineRule="exact"/>
              <w:ind w:left="318" w:hanging="284"/>
              <w:jc w:val="both"/>
              <w:rPr>
                <w:rFonts w:ascii="Arial" w:hAnsi="Arial" w:cs="Arial"/>
                <w:lang w:val="en-GB"/>
              </w:rPr>
            </w:pPr>
            <w:r w:rsidRPr="006923EA">
              <w:rPr>
                <w:rFonts w:ascii="Arial" w:hAnsi="Arial" w:cs="Arial"/>
                <w:lang w:val="en-GB"/>
              </w:rPr>
              <w:t>Investing in research to analyse workforce implications and identify business opportunities arising from population ageing in the sub region</w:t>
            </w:r>
          </w:p>
          <w:p w:rsidR="006E222F" w:rsidRPr="006923EA" w:rsidRDefault="006E222F" w:rsidP="006E222F">
            <w:pPr>
              <w:pStyle w:val="ListParagraph"/>
              <w:numPr>
                <w:ilvl w:val="0"/>
                <w:numId w:val="34"/>
              </w:numPr>
              <w:spacing w:before="120" w:after="120" w:line="320" w:lineRule="exact"/>
              <w:ind w:left="318" w:hanging="284"/>
              <w:jc w:val="both"/>
              <w:rPr>
                <w:rFonts w:ascii="Arial" w:hAnsi="Arial" w:cs="Arial"/>
                <w:lang w:val="en-GB"/>
              </w:rPr>
            </w:pPr>
            <w:r w:rsidRPr="006923EA">
              <w:rPr>
                <w:rFonts w:ascii="Arial" w:hAnsi="Arial" w:cs="Arial"/>
                <w:lang w:val="en-GB"/>
              </w:rPr>
              <w:t>Establishing an ageing innovation cluster within Bay of Connections</w:t>
            </w:r>
          </w:p>
          <w:p w:rsidR="006E222F" w:rsidRDefault="006E222F" w:rsidP="006E222F">
            <w:pPr>
              <w:pStyle w:val="Heading3"/>
              <w:numPr>
                <w:ilvl w:val="0"/>
                <w:numId w:val="0"/>
              </w:numPr>
              <w:spacing w:before="120" w:after="120" w:line="320" w:lineRule="exact"/>
              <w:jc w:val="both"/>
            </w:pPr>
          </w:p>
        </w:tc>
        <w:tc>
          <w:tcPr>
            <w:tcW w:w="1418" w:type="dxa"/>
          </w:tcPr>
          <w:p w:rsidR="006E222F" w:rsidRDefault="006E222F" w:rsidP="006E222F">
            <w:pPr>
              <w:pStyle w:val="BodyText"/>
              <w:spacing w:line="320" w:lineRule="exact"/>
              <w:ind w:left="0"/>
              <w:rPr>
                <w:lang w:val="en-NZ"/>
              </w:rPr>
            </w:pPr>
            <w:r>
              <w:rPr>
                <w:lang w:val="en-NZ"/>
              </w:rPr>
              <w:t>BOPRC</w:t>
            </w:r>
          </w:p>
        </w:tc>
        <w:tc>
          <w:tcPr>
            <w:tcW w:w="1417" w:type="dxa"/>
          </w:tcPr>
          <w:p w:rsidR="006E222F" w:rsidRDefault="006E222F" w:rsidP="006E222F">
            <w:pPr>
              <w:pStyle w:val="BodyText"/>
              <w:ind w:left="0"/>
              <w:rPr>
                <w:lang w:val="en-NZ"/>
              </w:rPr>
            </w:pPr>
            <w:r>
              <w:rPr>
                <w:lang w:val="en-NZ"/>
              </w:rPr>
              <w:t>Medium</w:t>
            </w:r>
          </w:p>
        </w:tc>
        <w:tc>
          <w:tcPr>
            <w:tcW w:w="1276" w:type="dxa"/>
          </w:tcPr>
          <w:p w:rsidR="006E222F" w:rsidRDefault="006E222F" w:rsidP="006E222F">
            <w:pPr>
              <w:pStyle w:val="BodyText"/>
              <w:ind w:left="0"/>
              <w:rPr>
                <w:lang w:val="en-NZ"/>
              </w:rPr>
            </w:pPr>
            <w:r>
              <w:rPr>
                <w:lang w:val="en-NZ"/>
              </w:rPr>
              <w:t>BOPRC</w:t>
            </w:r>
          </w:p>
        </w:tc>
        <w:tc>
          <w:tcPr>
            <w:tcW w:w="1559" w:type="dxa"/>
          </w:tcPr>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r>
              <w:rPr>
                <w:lang w:val="en-NZ"/>
              </w:rPr>
              <w:t>Evidence of research</w:t>
            </w: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p>
          <w:p w:rsidR="006E222F" w:rsidRDefault="006E222F" w:rsidP="006E222F">
            <w:pPr>
              <w:pStyle w:val="BodyText"/>
              <w:spacing w:line="320" w:lineRule="exact"/>
              <w:ind w:left="0"/>
              <w:rPr>
                <w:lang w:val="en-NZ"/>
              </w:rPr>
            </w:pPr>
            <w:r>
              <w:rPr>
                <w:lang w:val="en-NZ"/>
              </w:rPr>
              <w:t>Ageing innovation cluster established</w:t>
            </w:r>
          </w:p>
        </w:tc>
      </w:tr>
    </w:tbl>
    <w:p w:rsidR="00FB1EBE" w:rsidRDefault="00FB1EBE" w:rsidP="0005464C">
      <w:pPr>
        <w:spacing w:line="320" w:lineRule="exact"/>
        <w:jc w:val="both"/>
      </w:pPr>
    </w:p>
    <w:p w:rsidR="00FB1EBE" w:rsidRPr="002E1AEC" w:rsidRDefault="00FB1EBE" w:rsidP="00FB1EBE">
      <w:pPr>
        <w:pStyle w:val="Heading1"/>
      </w:pPr>
      <w:bookmarkStart w:id="34" w:name="_Toc340245238"/>
      <w:r>
        <w:t>NOTE FROM THE AUTHORS</w:t>
      </w:r>
      <w:bookmarkEnd w:id="34"/>
    </w:p>
    <w:p w:rsidR="00714BE1" w:rsidRDefault="00FB1EBE" w:rsidP="00FB1EBE">
      <w:pPr>
        <w:spacing w:before="120" w:after="120" w:line="320" w:lineRule="exact"/>
        <w:jc w:val="both"/>
      </w:pPr>
      <w:r>
        <w:t>This report is part of a suite of research reports prepared for the 2012 SmartGrowth Update and it should be noted that:</w:t>
      </w:r>
    </w:p>
    <w:p w:rsidR="00FB1EBE" w:rsidRPr="00FB1EBE" w:rsidRDefault="00FB1EBE" w:rsidP="006C231E">
      <w:pPr>
        <w:pStyle w:val="ListParagraph"/>
        <w:numPr>
          <w:ilvl w:val="0"/>
          <w:numId w:val="15"/>
        </w:numPr>
        <w:spacing w:before="120" w:after="120" w:line="320" w:lineRule="exact"/>
        <w:ind w:left="284" w:hanging="284"/>
        <w:jc w:val="both"/>
        <w:rPr>
          <w:rFonts w:ascii="Arial" w:hAnsi="Arial" w:cs="Arial"/>
        </w:rPr>
      </w:pPr>
      <w:r>
        <w:rPr>
          <w:rFonts w:ascii="Arial" w:hAnsi="Arial" w:cs="Arial"/>
        </w:rPr>
        <w:t>It h</w:t>
      </w:r>
      <w:r w:rsidRPr="00FB1EBE">
        <w:rPr>
          <w:rFonts w:ascii="Arial" w:hAnsi="Arial" w:cs="Arial"/>
        </w:rPr>
        <w:t>as been prepared within a limited timeframe</w:t>
      </w:r>
    </w:p>
    <w:p w:rsidR="006C231E" w:rsidRDefault="006C231E" w:rsidP="006C231E">
      <w:pPr>
        <w:pStyle w:val="ListParagraph"/>
        <w:numPr>
          <w:ilvl w:val="0"/>
          <w:numId w:val="15"/>
        </w:numPr>
        <w:spacing w:before="120" w:after="120" w:line="320" w:lineRule="exact"/>
        <w:ind w:left="284" w:hanging="284"/>
        <w:jc w:val="both"/>
        <w:rPr>
          <w:rFonts w:ascii="Arial" w:hAnsi="Arial" w:cs="Arial"/>
        </w:rPr>
      </w:pPr>
      <w:r>
        <w:rPr>
          <w:rFonts w:ascii="Arial" w:hAnsi="Arial" w:cs="Arial"/>
        </w:rPr>
        <w:t>It does</w:t>
      </w:r>
      <w:r w:rsidR="00FB1EBE" w:rsidRPr="00FB1EBE">
        <w:rPr>
          <w:rFonts w:ascii="Arial" w:hAnsi="Arial" w:cs="Arial"/>
        </w:rPr>
        <w:t xml:space="preserve"> not comprehensively discuss the social, economic and housing challenges of population ageing within a cultural context</w:t>
      </w:r>
      <w:r>
        <w:rPr>
          <w:rFonts w:ascii="Arial" w:hAnsi="Arial" w:cs="Arial"/>
        </w:rPr>
        <w:t xml:space="preserve"> on th</w:t>
      </w:r>
      <w:r w:rsidR="00B5046C">
        <w:rPr>
          <w:rFonts w:ascii="Arial" w:hAnsi="Arial" w:cs="Arial"/>
        </w:rPr>
        <w:t>e</w:t>
      </w:r>
      <w:r>
        <w:rPr>
          <w:rFonts w:ascii="Arial" w:hAnsi="Arial" w:cs="Arial"/>
        </w:rPr>
        <w:t xml:space="preserve"> basis that:</w:t>
      </w:r>
    </w:p>
    <w:p w:rsidR="00B5046C" w:rsidRPr="00B5046C" w:rsidRDefault="006C231E" w:rsidP="00B5046C">
      <w:pPr>
        <w:pStyle w:val="ListParagraph"/>
        <w:numPr>
          <w:ilvl w:val="0"/>
          <w:numId w:val="21"/>
        </w:numPr>
        <w:spacing w:before="120" w:after="120" w:line="320" w:lineRule="exact"/>
        <w:jc w:val="both"/>
        <w:rPr>
          <w:rFonts w:ascii="Arial" w:hAnsi="Arial" w:cs="Arial"/>
        </w:rPr>
      </w:pPr>
      <w:r w:rsidRPr="00B5046C">
        <w:rPr>
          <w:rFonts w:ascii="Arial" w:hAnsi="Arial" w:cs="Arial"/>
        </w:rPr>
        <w:t>o</w:t>
      </w:r>
      <w:r w:rsidR="00FB1EBE" w:rsidRPr="00B5046C">
        <w:rPr>
          <w:rFonts w:ascii="Arial" w:hAnsi="Arial" w:cs="Arial"/>
        </w:rPr>
        <w:t>ther reports will discuss M</w:t>
      </w:r>
      <w:r w:rsidRPr="00B5046C">
        <w:rPr>
          <w:rFonts w:ascii="Arial" w:hAnsi="Arial" w:cs="Arial"/>
        </w:rPr>
        <w:t xml:space="preserve">āori perspectives </w:t>
      </w:r>
    </w:p>
    <w:p w:rsidR="00FB1EBE" w:rsidRPr="00B5046C" w:rsidRDefault="00136A1C" w:rsidP="00B5046C">
      <w:pPr>
        <w:pStyle w:val="ListParagraph"/>
        <w:numPr>
          <w:ilvl w:val="0"/>
          <w:numId w:val="21"/>
        </w:numPr>
        <w:spacing w:before="120" w:after="120" w:line="320" w:lineRule="exact"/>
        <w:jc w:val="both"/>
      </w:pPr>
      <w:r w:rsidRPr="00B5046C">
        <w:rPr>
          <w:rFonts w:ascii="Arial" w:hAnsi="Arial" w:cs="Arial"/>
        </w:rPr>
        <w:t>There</w:t>
      </w:r>
      <w:r w:rsidR="007A45C6" w:rsidRPr="00B5046C">
        <w:rPr>
          <w:rFonts w:ascii="Arial" w:hAnsi="Arial" w:cs="Arial"/>
        </w:rPr>
        <w:t xml:space="preserve"> are</w:t>
      </w:r>
      <w:r w:rsidR="006C231E" w:rsidRPr="00B5046C">
        <w:rPr>
          <w:rFonts w:ascii="Arial" w:hAnsi="Arial" w:cs="Arial"/>
        </w:rPr>
        <w:t xml:space="preserve"> low numbers of other ethnic groups within the sub-region.</w:t>
      </w:r>
    </w:p>
    <w:sectPr w:rsidR="00FB1EBE" w:rsidRPr="00B5046C" w:rsidSect="00BC46AA">
      <w:pgSz w:w="11906" w:h="16838" w:code="9"/>
      <w:pgMar w:top="1152" w:right="1440" w:bottom="720" w:left="1440" w:header="720" w:footer="432"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22F" w:rsidRDefault="006E222F" w:rsidP="006037AE">
      <w:r>
        <w:separator/>
      </w:r>
    </w:p>
  </w:endnote>
  <w:endnote w:type="continuationSeparator" w:id="0">
    <w:p w:rsidR="006E222F" w:rsidRDefault="006E222F" w:rsidP="00603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T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Helvetica Neu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22F" w:rsidRDefault="006E222F" w:rsidP="00E94D5E">
    <w:pPr>
      <w:pStyle w:val="Footer"/>
      <w:jc w:val="center"/>
    </w:pPr>
    <w:r>
      <w:rPr>
        <w:rStyle w:val="PageNumber"/>
      </w:rPr>
      <w:fldChar w:fldCharType="begin"/>
    </w:r>
    <w:r>
      <w:rPr>
        <w:rStyle w:val="PageNumber"/>
      </w:rPr>
      <w:instrText xml:space="preserve"> PAGE </w:instrText>
    </w:r>
    <w:r>
      <w:rPr>
        <w:rStyle w:val="PageNumber"/>
      </w:rPr>
      <w:fldChar w:fldCharType="separate"/>
    </w:r>
    <w:r w:rsidR="00A52B3E">
      <w:rPr>
        <w:rStyle w:val="PageNumber"/>
        <w:noProof/>
      </w:rPr>
      <w:t>38</w:t>
    </w:r>
    <w:r>
      <w:rPr>
        <w:rStyle w:val="PageNumber"/>
      </w:rPr>
      <w:fldChar w:fldCharType="end"/>
    </w:r>
    <w:r>
      <w:rPr>
        <w:rStyle w:val="PageNumber"/>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22F" w:rsidRDefault="006E222F" w:rsidP="00BC46AA">
    <w:pPr>
      <w:pStyle w:val="Footer"/>
      <w:jc w:val="center"/>
    </w:pPr>
    <w:r>
      <w:rPr>
        <w:rStyle w:val="PageNumber"/>
      </w:rPr>
      <w:fldChar w:fldCharType="begin"/>
    </w:r>
    <w:r>
      <w:rPr>
        <w:rStyle w:val="PageNumber"/>
      </w:rPr>
      <w:instrText xml:space="preserve"> PAGE </w:instrText>
    </w:r>
    <w:r>
      <w:rPr>
        <w:rStyle w:val="PageNumber"/>
      </w:rPr>
      <w:fldChar w:fldCharType="separate"/>
    </w:r>
    <w:r w:rsidR="00414DFB">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22F" w:rsidRDefault="006E222F" w:rsidP="006037AE">
      <w:r>
        <w:separator/>
      </w:r>
    </w:p>
  </w:footnote>
  <w:footnote w:type="continuationSeparator" w:id="0">
    <w:p w:rsidR="006E222F" w:rsidRDefault="006E222F" w:rsidP="006037AE">
      <w:r>
        <w:continuationSeparator/>
      </w:r>
    </w:p>
  </w:footnote>
  <w:footnote w:id="1">
    <w:p w:rsidR="006E222F" w:rsidRPr="009A1D31" w:rsidRDefault="006E222F" w:rsidP="00C02F20">
      <w:pPr>
        <w:pStyle w:val="FootnoteText"/>
        <w:rPr>
          <w:sz w:val="16"/>
          <w:szCs w:val="16"/>
        </w:rPr>
      </w:pPr>
      <w:r w:rsidRPr="009A1D31">
        <w:rPr>
          <w:rStyle w:val="FootnoteReference"/>
          <w:sz w:val="16"/>
          <w:szCs w:val="16"/>
        </w:rPr>
        <w:footnoteRef/>
      </w:r>
      <w:r w:rsidRPr="009A1D31">
        <w:rPr>
          <w:sz w:val="16"/>
          <w:szCs w:val="16"/>
        </w:rPr>
        <w:t xml:space="preserve"> Gordon,C. 2002. </w:t>
      </w:r>
      <w:r w:rsidRPr="009A1D31">
        <w:rPr>
          <w:i/>
          <w:sz w:val="16"/>
          <w:szCs w:val="16"/>
        </w:rPr>
        <w:t>All Our Futures.</w:t>
      </w:r>
      <w:r w:rsidRPr="009A1D31">
        <w:rPr>
          <w:sz w:val="16"/>
          <w:szCs w:val="16"/>
        </w:rPr>
        <w:t xml:space="preserve"> SmartGrowth.</w:t>
      </w:r>
    </w:p>
  </w:footnote>
  <w:footnote w:id="2">
    <w:p w:rsidR="006E222F" w:rsidRPr="009A1D31" w:rsidRDefault="006E222F" w:rsidP="00C02F20">
      <w:pPr>
        <w:pStyle w:val="FootnoteText"/>
        <w:rPr>
          <w:sz w:val="16"/>
          <w:szCs w:val="16"/>
        </w:rPr>
      </w:pPr>
      <w:r w:rsidRPr="009A1D31">
        <w:rPr>
          <w:rStyle w:val="FootnoteReference"/>
          <w:sz w:val="16"/>
          <w:szCs w:val="16"/>
        </w:rPr>
        <w:footnoteRef/>
      </w:r>
      <w:r w:rsidRPr="009A1D31">
        <w:rPr>
          <w:sz w:val="16"/>
          <w:szCs w:val="16"/>
        </w:rPr>
        <w:t xml:space="preserve"> </w:t>
      </w:r>
      <w:r>
        <w:rPr>
          <w:sz w:val="16"/>
          <w:szCs w:val="16"/>
        </w:rPr>
        <w:t>Gordon, C.</w:t>
      </w:r>
      <w:r w:rsidRPr="009A1D31">
        <w:rPr>
          <w:sz w:val="16"/>
          <w:szCs w:val="16"/>
        </w:rPr>
        <w:t xml:space="preserve"> 2008 CG Consulting Smart Ageing Action Plan. </w:t>
      </w:r>
    </w:p>
  </w:footnote>
  <w:footnote w:id="3">
    <w:p w:rsidR="006E222F" w:rsidRPr="001901E3" w:rsidRDefault="006E222F" w:rsidP="00FA3092">
      <w:pPr>
        <w:pStyle w:val="FootnoteText"/>
        <w:rPr>
          <w:sz w:val="16"/>
          <w:szCs w:val="16"/>
        </w:rPr>
      </w:pPr>
      <w:r w:rsidRPr="001901E3">
        <w:rPr>
          <w:rStyle w:val="FootnoteReference"/>
          <w:sz w:val="16"/>
          <w:szCs w:val="16"/>
        </w:rPr>
        <w:footnoteRef/>
      </w:r>
      <w:r w:rsidRPr="001901E3">
        <w:rPr>
          <w:sz w:val="16"/>
          <w:szCs w:val="16"/>
        </w:rPr>
        <w:t xml:space="preserve"> BOP DHB Health of Older people Strategy 2012.</w:t>
      </w:r>
    </w:p>
  </w:footnote>
  <w:footnote w:id="4">
    <w:p w:rsidR="006E222F" w:rsidRPr="003B0C5B" w:rsidRDefault="006E222F" w:rsidP="00E15D0B">
      <w:pPr>
        <w:pStyle w:val="FootnoteText"/>
        <w:rPr>
          <w:sz w:val="16"/>
          <w:szCs w:val="16"/>
        </w:rPr>
      </w:pPr>
      <w:r w:rsidRPr="003B0C5B">
        <w:rPr>
          <w:rStyle w:val="FootnoteReference"/>
          <w:sz w:val="16"/>
          <w:szCs w:val="16"/>
        </w:rPr>
        <w:footnoteRef/>
      </w:r>
      <w:r w:rsidRPr="003B0C5B">
        <w:rPr>
          <w:sz w:val="16"/>
          <w:szCs w:val="16"/>
        </w:rPr>
        <w:t xml:space="preserve"> WHO (2007) Age-friendly Cities: A Guide </w:t>
      </w:r>
    </w:p>
  </w:footnote>
  <w:footnote w:id="5">
    <w:p w:rsidR="006E222F" w:rsidRPr="003B0C5B" w:rsidRDefault="006E222F" w:rsidP="00E15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16"/>
          <w:szCs w:val="16"/>
        </w:rPr>
      </w:pPr>
      <w:r w:rsidRPr="003B0C5B">
        <w:rPr>
          <w:rStyle w:val="FootnoteReference"/>
          <w:sz w:val="16"/>
          <w:szCs w:val="16"/>
        </w:rPr>
        <w:footnoteRef/>
      </w:r>
      <w:r w:rsidRPr="003B0C5B">
        <w:rPr>
          <w:sz w:val="16"/>
          <w:szCs w:val="16"/>
        </w:rPr>
        <w:t xml:space="preserve"> </w:t>
      </w:r>
      <w:r w:rsidRPr="003B0C5B">
        <w:rPr>
          <w:rFonts w:cs="Helvetica"/>
          <w:bCs/>
          <w:sz w:val="16"/>
          <w:szCs w:val="16"/>
        </w:rPr>
        <w:t>Growing Older In Urban Environments: Perspectives from Japan and the UK. 2011.London</w:t>
      </w:r>
    </w:p>
  </w:footnote>
  <w:footnote w:id="6">
    <w:p w:rsidR="006E222F" w:rsidRPr="003B0C5B" w:rsidRDefault="006E222F" w:rsidP="00E15D0B">
      <w:pPr>
        <w:pStyle w:val="FootnoteText"/>
        <w:rPr>
          <w:sz w:val="16"/>
          <w:szCs w:val="16"/>
        </w:rPr>
      </w:pPr>
      <w:r w:rsidRPr="003B0C5B">
        <w:rPr>
          <w:sz w:val="16"/>
          <w:szCs w:val="16"/>
        </w:rPr>
        <w:t>2www.un.org/esa/population/publications/worldageing1950-2050/pdf/80chapterii.pdf</w:t>
      </w:r>
    </w:p>
  </w:footnote>
  <w:footnote w:id="7">
    <w:p w:rsidR="006E222F" w:rsidRPr="005E0CC6" w:rsidRDefault="006E222F" w:rsidP="00E15D0B">
      <w:pPr>
        <w:pStyle w:val="FootnoteText"/>
        <w:rPr>
          <w:sz w:val="16"/>
          <w:szCs w:val="16"/>
        </w:rPr>
      </w:pPr>
    </w:p>
  </w:footnote>
  <w:footnote w:id="8">
    <w:p w:rsidR="006E222F" w:rsidRPr="003E4EF1" w:rsidRDefault="006E222F" w:rsidP="00E15D0B">
      <w:pPr>
        <w:pStyle w:val="FootnoteText"/>
        <w:rPr>
          <w:sz w:val="16"/>
          <w:szCs w:val="16"/>
        </w:rPr>
      </w:pPr>
      <w:r w:rsidRPr="003E4EF1">
        <w:rPr>
          <w:rStyle w:val="FootnoteReference"/>
          <w:sz w:val="16"/>
          <w:szCs w:val="16"/>
        </w:rPr>
        <w:footnoteRef/>
      </w:r>
      <w:r w:rsidRPr="003E4EF1">
        <w:rPr>
          <w:sz w:val="16"/>
          <w:szCs w:val="16"/>
        </w:rPr>
        <w:t xml:space="preserve"> United National 2000; Poot 20102: 32; Davoudi, Wishardt and Strange 2010.</w:t>
      </w:r>
    </w:p>
  </w:footnote>
  <w:footnote w:id="9">
    <w:p w:rsidR="006E222F" w:rsidRPr="003B0C5B" w:rsidRDefault="006E222F">
      <w:pPr>
        <w:pStyle w:val="FootnoteText"/>
        <w:rPr>
          <w:i/>
          <w:sz w:val="16"/>
          <w:szCs w:val="16"/>
        </w:rPr>
      </w:pPr>
      <w:r w:rsidRPr="003B0C5B">
        <w:rPr>
          <w:rStyle w:val="FootnoteReference"/>
          <w:sz w:val="16"/>
          <w:szCs w:val="16"/>
        </w:rPr>
        <w:footnoteRef/>
      </w:r>
      <w:r w:rsidRPr="003B0C5B">
        <w:rPr>
          <w:sz w:val="16"/>
          <w:szCs w:val="16"/>
        </w:rPr>
        <w:t xml:space="preserve"> Jackson N (2011) Nidea Working Paper </w:t>
      </w:r>
      <w:r w:rsidRPr="003B0C5B">
        <w:rPr>
          <w:i/>
          <w:sz w:val="16"/>
          <w:szCs w:val="16"/>
        </w:rPr>
        <w:t>Demographic Forces Shaping New Zealand’s Future: What Population Ageing Really Means</w:t>
      </w:r>
    </w:p>
  </w:footnote>
  <w:footnote w:id="10">
    <w:p w:rsidR="006E222F" w:rsidRPr="005E0CC6" w:rsidRDefault="006E222F" w:rsidP="00E15D0B">
      <w:pPr>
        <w:pStyle w:val="FootnoteText"/>
        <w:rPr>
          <w:sz w:val="16"/>
          <w:szCs w:val="16"/>
        </w:rPr>
      </w:pPr>
      <w:r w:rsidRPr="005E0CC6">
        <w:rPr>
          <w:rStyle w:val="FootnoteReference"/>
          <w:sz w:val="16"/>
          <w:szCs w:val="16"/>
        </w:rPr>
        <w:footnoteRef/>
      </w:r>
      <w:r w:rsidRPr="005E0CC6">
        <w:rPr>
          <w:sz w:val="16"/>
          <w:szCs w:val="16"/>
        </w:rPr>
        <w:t xml:space="preserve"> As the ratio of older to younger people increases, structural crossovers begin to emerge, firstly as more elderly than children, secondly as the number at labour market entry age fall below those approaching retirement age.</w:t>
      </w:r>
    </w:p>
  </w:footnote>
  <w:footnote w:id="11">
    <w:p w:rsidR="006E222F" w:rsidRPr="00740047" w:rsidRDefault="006E222F" w:rsidP="00E15D0B">
      <w:pPr>
        <w:pStyle w:val="FootnoteText"/>
        <w:rPr>
          <w:sz w:val="16"/>
          <w:szCs w:val="16"/>
        </w:rPr>
      </w:pPr>
      <w:r w:rsidRPr="00740047">
        <w:rPr>
          <w:rStyle w:val="FootnoteReference"/>
          <w:sz w:val="16"/>
          <w:szCs w:val="16"/>
        </w:rPr>
        <w:footnoteRef/>
      </w:r>
      <w:r w:rsidRPr="00740047">
        <w:rPr>
          <w:sz w:val="16"/>
          <w:szCs w:val="16"/>
        </w:rPr>
        <w:t xml:space="preserve"> Statistics New Zealand, 2009, </w:t>
      </w:r>
      <w:r>
        <w:rPr>
          <w:sz w:val="16"/>
          <w:szCs w:val="16"/>
        </w:rPr>
        <w:t>(</w:t>
      </w:r>
      <w:r w:rsidRPr="00740047">
        <w:rPr>
          <w:sz w:val="16"/>
          <w:szCs w:val="16"/>
        </w:rPr>
        <w:t>Series 5)</w:t>
      </w:r>
    </w:p>
  </w:footnote>
  <w:footnote w:id="12">
    <w:p w:rsidR="006E222F" w:rsidRPr="005E0CC6" w:rsidRDefault="006E222F" w:rsidP="00E15D0B">
      <w:pPr>
        <w:pStyle w:val="FootnoteText"/>
        <w:rPr>
          <w:sz w:val="16"/>
          <w:szCs w:val="16"/>
        </w:rPr>
      </w:pPr>
      <w:r w:rsidRPr="005E0CC6">
        <w:rPr>
          <w:rStyle w:val="FootnoteReference"/>
          <w:sz w:val="16"/>
          <w:szCs w:val="16"/>
        </w:rPr>
        <w:footnoteRef/>
      </w:r>
      <w:r w:rsidRPr="005E0CC6">
        <w:rPr>
          <w:sz w:val="16"/>
          <w:szCs w:val="16"/>
        </w:rPr>
        <w:t xml:space="preserve"> Ibid, page 2</w:t>
      </w:r>
    </w:p>
  </w:footnote>
  <w:footnote w:id="13">
    <w:p w:rsidR="006E222F" w:rsidRPr="00D13E09" w:rsidRDefault="006E222F">
      <w:pPr>
        <w:pStyle w:val="FootnoteText"/>
        <w:rPr>
          <w:sz w:val="16"/>
          <w:szCs w:val="16"/>
        </w:rPr>
      </w:pPr>
      <w:r w:rsidRPr="00D13E09">
        <w:rPr>
          <w:rStyle w:val="FootnoteReference"/>
          <w:sz w:val="16"/>
          <w:szCs w:val="16"/>
        </w:rPr>
        <w:footnoteRef/>
      </w:r>
      <w:r w:rsidRPr="00D13E09">
        <w:rPr>
          <w:sz w:val="16"/>
          <w:szCs w:val="16"/>
        </w:rPr>
        <w:t xml:space="preserve"> Dyer-Chamberlain J, Hickie J, 2012 Independent for Life – Homes and Neighbourhoods for an Aging America</w:t>
      </w:r>
    </w:p>
  </w:footnote>
  <w:footnote w:id="14">
    <w:p w:rsidR="006E222F" w:rsidRPr="009B0F3F" w:rsidRDefault="006E222F" w:rsidP="00615AAF">
      <w:pPr>
        <w:pStyle w:val="FootnoteText"/>
        <w:rPr>
          <w:sz w:val="16"/>
        </w:rPr>
      </w:pPr>
      <w:r w:rsidRPr="009B0F3F">
        <w:rPr>
          <w:rStyle w:val="FootnoteReference"/>
          <w:sz w:val="16"/>
        </w:rPr>
        <w:footnoteRef/>
      </w:r>
      <w:r w:rsidRPr="009B0F3F">
        <w:rPr>
          <w:sz w:val="16"/>
        </w:rPr>
        <w:t xml:space="preserve"> BOP DHB Health of Older People Strategy 2012.</w:t>
      </w:r>
    </w:p>
  </w:footnote>
  <w:footnote w:id="15">
    <w:p w:rsidR="006E222F" w:rsidRPr="0064057D" w:rsidRDefault="006E222F">
      <w:pPr>
        <w:pStyle w:val="FootnoteText"/>
        <w:rPr>
          <w:i/>
          <w:sz w:val="16"/>
          <w:szCs w:val="16"/>
        </w:rPr>
      </w:pPr>
      <w:r w:rsidRPr="0064057D">
        <w:rPr>
          <w:rStyle w:val="FootnoteReference"/>
          <w:sz w:val="16"/>
          <w:szCs w:val="16"/>
        </w:rPr>
        <w:footnoteRef/>
      </w:r>
      <w:r w:rsidRPr="0064057D">
        <w:rPr>
          <w:sz w:val="16"/>
          <w:szCs w:val="16"/>
        </w:rPr>
        <w:t xml:space="preserve"> CHRANZ (2009)</w:t>
      </w:r>
      <w:r w:rsidRPr="0064057D">
        <w:rPr>
          <w:i/>
          <w:sz w:val="16"/>
          <w:szCs w:val="16"/>
        </w:rPr>
        <w:t xml:space="preserve"> Older People’s Housing Futures in 2050: Three Scenarios for an Ageing Society </w:t>
      </w:r>
    </w:p>
  </w:footnote>
  <w:footnote w:id="16">
    <w:p w:rsidR="006E222F" w:rsidRPr="00CB0397" w:rsidRDefault="006E222F">
      <w:pPr>
        <w:pStyle w:val="FootnoteText"/>
        <w:rPr>
          <w:sz w:val="16"/>
          <w:szCs w:val="16"/>
        </w:rPr>
      </w:pPr>
      <w:r w:rsidRPr="00CB0397">
        <w:rPr>
          <w:rStyle w:val="FootnoteReference"/>
          <w:sz w:val="16"/>
          <w:szCs w:val="16"/>
        </w:rPr>
        <w:footnoteRef/>
      </w:r>
      <w:r w:rsidRPr="00CB0397">
        <w:rPr>
          <w:sz w:val="16"/>
          <w:szCs w:val="16"/>
        </w:rPr>
        <w:t xml:space="preserve"> Ibid</w:t>
      </w:r>
    </w:p>
  </w:footnote>
  <w:footnote w:id="17">
    <w:p w:rsidR="006E222F" w:rsidRDefault="006E222F">
      <w:pPr>
        <w:pStyle w:val="FootnoteText"/>
      </w:pPr>
      <w:r>
        <w:rPr>
          <w:rStyle w:val="FootnoteReference"/>
        </w:rPr>
        <w:footnoteRef/>
      </w:r>
      <w:r>
        <w:t xml:space="preserve"> </w:t>
      </w:r>
      <w:r w:rsidRPr="00D13E09">
        <w:rPr>
          <w:sz w:val="16"/>
          <w:szCs w:val="16"/>
        </w:rPr>
        <w:t>Dyer-Chamberlain J, Hickie J, 2012 Independent for Life – Homes and Neighbourhoods for an Aging America</w:t>
      </w:r>
    </w:p>
  </w:footnote>
  <w:footnote w:id="18">
    <w:p w:rsidR="006E222F" w:rsidRPr="00CB0397" w:rsidRDefault="006E222F">
      <w:pPr>
        <w:pStyle w:val="FootnoteText"/>
        <w:rPr>
          <w:sz w:val="16"/>
          <w:szCs w:val="16"/>
        </w:rPr>
      </w:pPr>
      <w:r w:rsidRPr="00CB0397">
        <w:rPr>
          <w:rStyle w:val="FootnoteReference"/>
          <w:sz w:val="16"/>
          <w:szCs w:val="16"/>
        </w:rPr>
        <w:footnoteRef/>
      </w:r>
      <w:r w:rsidRPr="00CB0397">
        <w:rPr>
          <w:sz w:val="16"/>
          <w:szCs w:val="16"/>
        </w:rPr>
        <w:t xml:space="preserve"> </w:t>
      </w:r>
      <w:r w:rsidRPr="00D13E09">
        <w:rPr>
          <w:sz w:val="16"/>
          <w:szCs w:val="16"/>
        </w:rPr>
        <w:t>Dyer-Chamberlain J, Hickie J, 2012 Independent for Life – Homes and Neighbourhoods for an Aging America</w:t>
      </w:r>
    </w:p>
  </w:footnote>
  <w:footnote w:id="19">
    <w:p w:rsidR="006E222F" w:rsidRPr="00CB0397" w:rsidRDefault="006E222F">
      <w:pPr>
        <w:pStyle w:val="FootnoteText"/>
        <w:rPr>
          <w:sz w:val="16"/>
          <w:szCs w:val="16"/>
        </w:rPr>
      </w:pPr>
      <w:r w:rsidRPr="00CB0397">
        <w:rPr>
          <w:rStyle w:val="FootnoteReference"/>
          <w:sz w:val="16"/>
          <w:szCs w:val="16"/>
        </w:rPr>
        <w:footnoteRef/>
      </w:r>
      <w:r w:rsidRPr="00CB0397">
        <w:rPr>
          <w:sz w:val="16"/>
          <w:szCs w:val="16"/>
        </w:rPr>
        <w:t xml:space="preserve"> Ibid</w:t>
      </w:r>
    </w:p>
  </w:footnote>
  <w:footnote w:id="20">
    <w:p w:rsidR="006E222F" w:rsidRPr="00FC1F37" w:rsidRDefault="006E222F">
      <w:pPr>
        <w:pStyle w:val="FootnoteText"/>
        <w:rPr>
          <w:sz w:val="16"/>
          <w:szCs w:val="16"/>
        </w:rPr>
      </w:pPr>
      <w:r w:rsidRPr="00FC1F37">
        <w:rPr>
          <w:rStyle w:val="FootnoteReference"/>
          <w:sz w:val="16"/>
          <w:szCs w:val="16"/>
        </w:rPr>
        <w:footnoteRef/>
      </w:r>
      <w:r w:rsidRPr="00FC1F37">
        <w:rPr>
          <w:sz w:val="16"/>
          <w:szCs w:val="16"/>
        </w:rPr>
        <w:t xml:space="preserve"> Dyer-Chamberlain J, Hickie J, 2012 Independent for Life – Homes and Neighbourhoods for an Aging America</w:t>
      </w:r>
    </w:p>
  </w:footnote>
  <w:footnote w:id="21">
    <w:p w:rsidR="006E222F" w:rsidRPr="00B81368" w:rsidRDefault="006E222F">
      <w:pPr>
        <w:pStyle w:val="FootnoteText"/>
        <w:rPr>
          <w:sz w:val="16"/>
          <w:szCs w:val="16"/>
        </w:rPr>
      </w:pPr>
      <w:r w:rsidRPr="00B81368">
        <w:rPr>
          <w:rStyle w:val="FootnoteReference"/>
          <w:sz w:val="16"/>
          <w:szCs w:val="16"/>
        </w:rPr>
        <w:footnoteRef/>
      </w:r>
      <w:r w:rsidRPr="00B81368">
        <w:rPr>
          <w:sz w:val="16"/>
          <w:szCs w:val="16"/>
        </w:rPr>
        <w:t xml:space="preserve"> Ibid</w:t>
      </w:r>
    </w:p>
  </w:footnote>
  <w:footnote w:id="22">
    <w:p w:rsidR="006E222F" w:rsidRPr="00FC1F37" w:rsidRDefault="006E222F" w:rsidP="00CB0397">
      <w:pPr>
        <w:pStyle w:val="FootnoteText"/>
        <w:rPr>
          <w:i/>
          <w:sz w:val="16"/>
          <w:szCs w:val="16"/>
        </w:rPr>
      </w:pPr>
      <w:r w:rsidRPr="00FC1F37">
        <w:rPr>
          <w:rStyle w:val="FootnoteReference"/>
          <w:sz w:val="16"/>
          <w:szCs w:val="16"/>
        </w:rPr>
        <w:footnoteRef/>
      </w:r>
      <w:r w:rsidRPr="00FC1F37">
        <w:rPr>
          <w:sz w:val="16"/>
          <w:szCs w:val="16"/>
        </w:rPr>
        <w:t xml:space="preserve"> CHRANZ (2009)</w:t>
      </w:r>
      <w:r w:rsidRPr="00FC1F37">
        <w:rPr>
          <w:i/>
          <w:sz w:val="16"/>
          <w:szCs w:val="16"/>
        </w:rPr>
        <w:t xml:space="preserve"> Older People’s Housing Futures in 2050: Three Scenarios for an Ageing Society </w:t>
      </w:r>
    </w:p>
    <w:p w:rsidR="006E222F" w:rsidRPr="00FC1F37" w:rsidRDefault="006E222F" w:rsidP="003347EF">
      <w:pPr>
        <w:pStyle w:val="FootnoteText"/>
        <w:rPr>
          <w:sz w:val="16"/>
          <w:szCs w:val="16"/>
        </w:rPr>
      </w:pPr>
    </w:p>
  </w:footnote>
  <w:footnote w:id="23">
    <w:p w:rsidR="006E222F" w:rsidRPr="00640CC3" w:rsidRDefault="006E222F" w:rsidP="0084286B">
      <w:pPr>
        <w:pStyle w:val="FootnoteText"/>
        <w:rPr>
          <w:sz w:val="16"/>
          <w:szCs w:val="16"/>
        </w:rPr>
      </w:pPr>
      <w:r w:rsidRPr="00640CC3">
        <w:rPr>
          <w:rStyle w:val="FootnoteReference"/>
          <w:sz w:val="16"/>
          <w:szCs w:val="16"/>
        </w:rPr>
        <w:footnoteRef/>
      </w:r>
      <w:r w:rsidRPr="00640CC3">
        <w:rPr>
          <w:sz w:val="16"/>
          <w:szCs w:val="16"/>
        </w:rPr>
        <w:t xml:space="preserve"> IMF 2011.  Wising Up the Rising Costs of Aging Populations</w:t>
      </w:r>
    </w:p>
  </w:footnote>
  <w:footnote w:id="24">
    <w:p w:rsidR="006E222F" w:rsidRPr="008974B0" w:rsidRDefault="006E222F" w:rsidP="0084286B">
      <w:pPr>
        <w:pStyle w:val="FootnoteText"/>
        <w:rPr>
          <w:sz w:val="16"/>
          <w:szCs w:val="16"/>
        </w:rPr>
      </w:pPr>
      <w:r w:rsidRPr="008974B0">
        <w:rPr>
          <w:rStyle w:val="FootnoteReference"/>
          <w:sz w:val="16"/>
          <w:szCs w:val="16"/>
        </w:rPr>
        <w:footnoteRef/>
      </w:r>
      <w:r w:rsidRPr="008974B0">
        <w:rPr>
          <w:sz w:val="16"/>
          <w:szCs w:val="16"/>
        </w:rPr>
        <w:t xml:space="preserve"> OECD 2005, Ageing Populations: High time for action.  Report prepared for G8 Employment and Labour Ministers</w:t>
      </w:r>
    </w:p>
  </w:footnote>
  <w:footnote w:id="25">
    <w:p w:rsidR="006E222F" w:rsidRPr="00DF3333" w:rsidRDefault="006E222F" w:rsidP="000852E8">
      <w:pPr>
        <w:pStyle w:val="FootnoteText"/>
        <w:rPr>
          <w:sz w:val="16"/>
        </w:rPr>
      </w:pPr>
      <w:r w:rsidRPr="00DF3333">
        <w:rPr>
          <w:rStyle w:val="FootnoteReference"/>
          <w:sz w:val="16"/>
        </w:rPr>
        <w:footnoteRef/>
      </w:r>
      <w:r w:rsidRPr="00DF3333">
        <w:rPr>
          <w:sz w:val="16"/>
        </w:rPr>
        <w:t xml:space="preserve"> OECD 2005, Ageing Populations: High time for action. Report prepared for G8 Employment and Labour Ministers.</w:t>
      </w:r>
    </w:p>
  </w:footnote>
  <w:footnote w:id="26">
    <w:p w:rsidR="006E222F" w:rsidRPr="0085342F" w:rsidRDefault="006E222F" w:rsidP="000852E8">
      <w:pPr>
        <w:pStyle w:val="FootnoteText"/>
        <w:rPr>
          <w:sz w:val="16"/>
        </w:rPr>
      </w:pPr>
      <w:r w:rsidRPr="0085342F">
        <w:rPr>
          <w:rStyle w:val="FootnoteReference"/>
          <w:sz w:val="16"/>
        </w:rPr>
        <w:footnoteRef/>
      </w:r>
      <w:r w:rsidRPr="0085342F">
        <w:rPr>
          <w:sz w:val="16"/>
        </w:rPr>
        <w:t xml:space="preserve"> World Bank, 1994,Averting The Old Age Crisis</w:t>
      </w:r>
    </w:p>
  </w:footnote>
  <w:footnote w:id="27">
    <w:p w:rsidR="006E222F" w:rsidRPr="00056819" w:rsidRDefault="006E222F" w:rsidP="00BC3EC1">
      <w:pPr>
        <w:pStyle w:val="FootnoteText"/>
        <w:rPr>
          <w:sz w:val="16"/>
        </w:rPr>
      </w:pPr>
      <w:r w:rsidRPr="003413DC">
        <w:rPr>
          <w:rStyle w:val="FootnoteReference"/>
          <w:sz w:val="16"/>
        </w:rPr>
        <w:footnoteRef/>
      </w:r>
      <w:r w:rsidRPr="003413DC">
        <w:rPr>
          <w:sz w:val="16"/>
        </w:rPr>
        <w:t xml:space="preserve"> </w:t>
      </w:r>
      <w:r w:rsidRPr="00056819">
        <w:rPr>
          <w:sz w:val="16"/>
        </w:rPr>
        <w:t>James Vaupel demographer Duke University</w:t>
      </w:r>
    </w:p>
  </w:footnote>
  <w:footnote w:id="28">
    <w:p w:rsidR="006E222F" w:rsidRPr="00DF3333" w:rsidRDefault="006E222F" w:rsidP="000852E8">
      <w:pPr>
        <w:pStyle w:val="FootnoteText"/>
        <w:rPr>
          <w:sz w:val="16"/>
        </w:rPr>
      </w:pPr>
      <w:r w:rsidRPr="00DF3333">
        <w:rPr>
          <w:rStyle w:val="FootnoteReference"/>
          <w:sz w:val="16"/>
        </w:rPr>
        <w:footnoteRef/>
      </w:r>
      <w:r w:rsidRPr="00DF3333">
        <w:rPr>
          <w:sz w:val="16"/>
        </w:rPr>
        <w:t xml:space="preserve"> </w:t>
      </w:r>
      <w:r>
        <w:rPr>
          <w:sz w:val="16"/>
        </w:rPr>
        <w:t>International Monetary Fund World Economic Outlook, April 2012.</w:t>
      </w:r>
    </w:p>
  </w:footnote>
  <w:footnote w:id="29">
    <w:p w:rsidR="006E222F" w:rsidRPr="00BD524A" w:rsidRDefault="006E222F" w:rsidP="000852E8">
      <w:pPr>
        <w:pStyle w:val="FootnoteText"/>
        <w:rPr>
          <w:sz w:val="16"/>
        </w:rPr>
      </w:pPr>
      <w:r w:rsidRPr="00BD524A">
        <w:rPr>
          <w:rStyle w:val="FootnoteReference"/>
          <w:sz w:val="16"/>
        </w:rPr>
        <w:footnoteRef/>
      </w:r>
      <w:r w:rsidRPr="00BD524A">
        <w:rPr>
          <w:sz w:val="16"/>
        </w:rPr>
        <w:t xml:space="preserve"> </w:t>
      </w:r>
      <w:r>
        <w:rPr>
          <w:sz w:val="16"/>
        </w:rPr>
        <w:t xml:space="preserve"> OECD Observer e-Alert. September 2012.</w:t>
      </w:r>
    </w:p>
  </w:footnote>
  <w:footnote w:id="30">
    <w:p w:rsidR="006E222F" w:rsidRPr="00080F58" w:rsidRDefault="006E222F" w:rsidP="000852E8">
      <w:pPr>
        <w:pStyle w:val="FootnoteText"/>
        <w:rPr>
          <w:sz w:val="16"/>
        </w:rPr>
      </w:pPr>
      <w:r w:rsidRPr="00080F58">
        <w:rPr>
          <w:rStyle w:val="FootnoteReference"/>
          <w:sz w:val="16"/>
        </w:rPr>
        <w:footnoteRef/>
      </w:r>
      <w:r w:rsidRPr="00080F58">
        <w:rPr>
          <w:sz w:val="16"/>
        </w:rPr>
        <w:t xml:space="preserve"> Bloomberg</w:t>
      </w:r>
      <w:r>
        <w:rPr>
          <w:sz w:val="16"/>
        </w:rPr>
        <w:t xml:space="preserve"> March 2012. Amion Rey is Director of demographics and aging, Credit Swiis Group</w:t>
      </w:r>
    </w:p>
  </w:footnote>
  <w:footnote w:id="31">
    <w:p w:rsidR="006E222F" w:rsidRPr="00947763" w:rsidRDefault="006E222F" w:rsidP="000852E8">
      <w:pPr>
        <w:pStyle w:val="FootnoteText"/>
        <w:rPr>
          <w:sz w:val="16"/>
        </w:rPr>
      </w:pPr>
      <w:r w:rsidRPr="00947763">
        <w:rPr>
          <w:rStyle w:val="FootnoteReference"/>
          <w:sz w:val="16"/>
        </w:rPr>
        <w:footnoteRef/>
      </w:r>
      <w:r w:rsidRPr="00947763">
        <w:rPr>
          <w:sz w:val="16"/>
        </w:rPr>
        <w:t xml:space="preserve"> </w:t>
      </w:r>
      <w:r>
        <w:rPr>
          <w:sz w:val="16"/>
        </w:rPr>
        <w:t xml:space="preserve">Population Ageing: Facts, Challenges and Responses.2011. </w:t>
      </w:r>
      <w:r w:rsidRPr="00947763">
        <w:rPr>
          <w:sz w:val="16"/>
        </w:rPr>
        <w:t>http://www.hsph.harvard.edu/pgda/working.htm</w:t>
      </w:r>
    </w:p>
  </w:footnote>
  <w:footnote w:id="32">
    <w:p w:rsidR="006E222F" w:rsidRPr="003F13EA" w:rsidRDefault="006E222F" w:rsidP="004A6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16"/>
          <w:szCs w:val="16"/>
        </w:rPr>
      </w:pPr>
      <w:r w:rsidRPr="003F13EA">
        <w:rPr>
          <w:rStyle w:val="FootnoteReference"/>
          <w:sz w:val="16"/>
          <w:szCs w:val="16"/>
        </w:rPr>
        <w:footnoteRef/>
      </w:r>
      <w:r w:rsidRPr="003F13EA">
        <w:rPr>
          <w:sz w:val="16"/>
          <w:szCs w:val="16"/>
        </w:rPr>
        <w:t xml:space="preserve"> andrew.gillespie@mfat.govt.nz. </w:t>
      </w:r>
    </w:p>
  </w:footnote>
  <w:footnote w:id="33">
    <w:p w:rsidR="006E222F" w:rsidRPr="003F13EA" w:rsidRDefault="006E222F">
      <w:pPr>
        <w:pStyle w:val="FootnoteText"/>
        <w:rPr>
          <w:sz w:val="16"/>
          <w:szCs w:val="16"/>
        </w:rPr>
      </w:pPr>
      <w:r w:rsidRPr="003F13EA">
        <w:rPr>
          <w:rStyle w:val="FootnoteReference"/>
          <w:sz w:val="16"/>
          <w:szCs w:val="16"/>
        </w:rPr>
        <w:footnoteRef/>
      </w:r>
      <w:r w:rsidRPr="003F13EA">
        <w:rPr>
          <w:sz w:val="16"/>
          <w:szCs w:val="16"/>
        </w:rPr>
        <w:t xml:space="preserve"> Davey, J. 2006. The Labour market, in implications of population ageing: opportunities and risks. Institute of Policy Studies, Victoria University. Wellington</w:t>
      </w:r>
    </w:p>
  </w:footnote>
  <w:footnote w:id="34">
    <w:p w:rsidR="006E222F" w:rsidRPr="003F13EA" w:rsidRDefault="006E222F" w:rsidP="00BC3EC1">
      <w:pPr>
        <w:pStyle w:val="FootnoteText"/>
        <w:rPr>
          <w:sz w:val="16"/>
          <w:szCs w:val="16"/>
        </w:rPr>
      </w:pPr>
      <w:r w:rsidRPr="003F13EA">
        <w:rPr>
          <w:rStyle w:val="FootnoteReference"/>
          <w:sz w:val="16"/>
          <w:szCs w:val="16"/>
        </w:rPr>
        <w:footnoteRef/>
      </w:r>
      <w:r w:rsidRPr="003F13EA">
        <w:rPr>
          <w:sz w:val="16"/>
          <w:szCs w:val="16"/>
        </w:rPr>
        <w:t xml:space="preserve"> www.productivity.govt.nz/about-productivity/what-is-productivity</w:t>
      </w:r>
    </w:p>
  </w:footnote>
  <w:footnote w:id="35">
    <w:p w:rsidR="006E222F" w:rsidRPr="003F13EA" w:rsidRDefault="006E222F" w:rsidP="004A6790">
      <w:pPr>
        <w:pStyle w:val="FootnoteText"/>
        <w:rPr>
          <w:sz w:val="16"/>
          <w:szCs w:val="16"/>
        </w:rPr>
      </w:pPr>
      <w:r w:rsidRPr="003F13EA">
        <w:rPr>
          <w:rStyle w:val="FootnoteReference"/>
          <w:sz w:val="16"/>
          <w:szCs w:val="16"/>
        </w:rPr>
        <w:footnoteRef/>
      </w:r>
      <w:r w:rsidRPr="003F13EA">
        <w:rPr>
          <w:sz w:val="16"/>
          <w:szCs w:val="16"/>
        </w:rPr>
        <w:t xml:space="preserve"> Stephenson J, Scobie G. 2002. The Economics of Population Ageing. New Zealand Treasury.</w:t>
      </w:r>
    </w:p>
  </w:footnote>
  <w:footnote w:id="36">
    <w:p w:rsidR="006E222F" w:rsidRPr="003F13EA" w:rsidRDefault="006E222F" w:rsidP="004A6790">
      <w:pPr>
        <w:pStyle w:val="FootnoteText"/>
        <w:rPr>
          <w:sz w:val="16"/>
          <w:szCs w:val="16"/>
        </w:rPr>
      </w:pPr>
      <w:r w:rsidRPr="003F13EA">
        <w:rPr>
          <w:rStyle w:val="FootnoteReference"/>
          <w:sz w:val="16"/>
          <w:szCs w:val="16"/>
        </w:rPr>
        <w:footnoteRef/>
      </w:r>
      <w:r w:rsidRPr="003F13EA">
        <w:rPr>
          <w:sz w:val="16"/>
          <w:szCs w:val="16"/>
        </w:rPr>
        <w:t xml:space="preserve">  Davey J, The Labour Market, 2006. in Implications of Population Ageing,</w:t>
      </w:r>
    </w:p>
  </w:footnote>
  <w:footnote w:id="37">
    <w:p w:rsidR="006E222F" w:rsidRPr="0027688E" w:rsidRDefault="006E222F" w:rsidP="004A6790">
      <w:pPr>
        <w:pStyle w:val="FootnoteText"/>
        <w:rPr>
          <w:sz w:val="16"/>
        </w:rPr>
      </w:pPr>
      <w:r w:rsidRPr="0027688E">
        <w:rPr>
          <w:rStyle w:val="FootnoteReference"/>
          <w:sz w:val="16"/>
        </w:rPr>
        <w:footnoteRef/>
      </w:r>
      <w:r w:rsidRPr="0027688E">
        <w:rPr>
          <w:sz w:val="16"/>
        </w:rPr>
        <w:t xml:space="preserve"> Wilson P, Rodway P, Ageing and the Long Term Fiscal Position, in Implications of Population Ageing, Boston and Davey, </w:t>
      </w:r>
    </w:p>
    <w:p w:rsidR="006E222F" w:rsidRPr="0027688E" w:rsidRDefault="006E222F" w:rsidP="004A6790">
      <w:pPr>
        <w:pStyle w:val="FootnoteText"/>
        <w:rPr>
          <w:sz w:val="16"/>
        </w:rPr>
      </w:pPr>
      <w:r w:rsidRPr="0027688E">
        <w:rPr>
          <w:sz w:val="16"/>
        </w:rPr>
        <w:t xml:space="preserve">     2006 Institute of Policy Studies. Wellington.</w:t>
      </w:r>
    </w:p>
  </w:footnote>
  <w:footnote w:id="38">
    <w:p w:rsidR="006E222F" w:rsidRPr="0027688E" w:rsidRDefault="006E222F" w:rsidP="004A6790">
      <w:pPr>
        <w:pStyle w:val="FootnoteText"/>
        <w:rPr>
          <w:sz w:val="16"/>
          <w:szCs w:val="16"/>
        </w:rPr>
      </w:pPr>
      <w:r w:rsidRPr="0027688E">
        <w:rPr>
          <w:rStyle w:val="FootnoteReference"/>
          <w:sz w:val="16"/>
          <w:szCs w:val="16"/>
        </w:rPr>
        <w:footnoteRef/>
      </w:r>
      <w:r w:rsidRPr="0027688E">
        <w:rPr>
          <w:sz w:val="16"/>
          <w:szCs w:val="16"/>
        </w:rPr>
        <w:t xml:space="preserve"> Natalie Jackson, 2011</w:t>
      </w:r>
    </w:p>
  </w:footnote>
  <w:footnote w:id="39">
    <w:p w:rsidR="006E222F" w:rsidRPr="0027688E" w:rsidRDefault="006E222F" w:rsidP="00376E27">
      <w:pPr>
        <w:pStyle w:val="FootnoteText"/>
        <w:rPr>
          <w:sz w:val="16"/>
        </w:rPr>
      </w:pPr>
      <w:r w:rsidRPr="0027688E">
        <w:rPr>
          <w:rStyle w:val="FootnoteReference"/>
          <w:sz w:val="16"/>
        </w:rPr>
        <w:footnoteRef/>
      </w:r>
      <w:r w:rsidRPr="0027688E">
        <w:rPr>
          <w:sz w:val="16"/>
        </w:rPr>
        <w:t xml:space="preserve"> Statistics NZ August 2012 </w:t>
      </w:r>
      <w:r w:rsidRPr="0027688E">
        <w:rPr>
          <w:color w:val="999720"/>
          <w:sz w:val="16"/>
          <w:szCs w:val="42"/>
        </w:rPr>
        <w:t xml:space="preserve">National Labour Force Projections: 2006(base)–2061 </w:t>
      </w:r>
    </w:p>
  </w:footnote>
  <w:footnote w:id="40">
    <w:p w:rsidR="006E222F" w:rsidRPr="0027688E" w:rsidRDefault="006E222F" w:rsidP="00376E27">
      <w:pPr>
        <w:pStyle w:val="FootnoteText"/>
        <w:rPr>
          <w:sz w:val="16"/>
        </w:rPr>
      </w:pPr>
      <w:r w:rsidRPr="0027688E">
        <w:rPr>
          <w:rStyle w:val="FootnoteReference"/>
          <w:sz w:val="16"/>
        </w:rPr>
        <w:footnoteRef/>
      </w:r>
      <w:r w:rsidRPr="0027688E">
        <w:rPr>
          <w:sz w:val="16"/>
        </w:rPr>
        <w:t xml:space="preserve"> NZ Dept Labour. 2008, </w:t>
      </w:r>
      <w:r w:rsidRPr="0027688E">
        <w:rPr>
          <w:i/>
          <w:sz w:val="16"/>
        </w:rPr>
        <w:t>Forces For Change in the Future of Labour Market in New Zealand.</w:t>
      </w:r>
    </w:p>
  </w:footnote>
  <w:footnote w:id="41">
    <w:p w:rsidR="006E222F" w:rsidRPr="0027688E" w:rsidRDefault="006E222F" w:rsidP="00376E27">
      <w:pPr>
        <w:pStyle w:val="FootnoteText"/>
        <w:rPr>
          <w:sz w:val="16"/>
        </w:rPr>
      </w:pPr>
      <w:r w:rsidRPr="0027688E">
        <w:rPr>
          <w:rStyle w:val="FootnoteReference"/>
          <w:sz w:val="16"/>
        </w:rPr>
        <w:footnoteRef/>
      </w:r>
      <w:r w:rsidRPr="0027688E">
        <w:rPr>
          <w:sz w:val="16"/>
        </w:rPr>
        <w:t xml:space="preserve"> NZ Treasury 2009</w:t>
      </w:r>
    </w:p>
  </w:footnote>
  <w:footnote w:id="42">
    <w:p w:rsidR="006E222F" w:rsidRPr="0027688E" w:rsidRDefault="006E222F" w:rsidP="00041DC6">
      <w:pPr>
        <w:pStyle w:val="FootnoteText"/>
        <w:rPr>
          <w:sz w:val="16"/>
        </w:rPr>
      </w:pPr>
      <w:r w:rsidRPr="0027688E">
        <w:rPr>
          <w:rStyle w:val="FootnoteReference"/>
          <w:sz w:val="16"/>
        </w:rPr>
        <w:footnoteRef/>
      </w:r>
      <w:r w:rsidRPr="0027688E">
        <w:rPr>
          <w:sz w:val="16"/>
        </w:rPr>
        <w:t xml:space="preserve"> Statistics NZ </w:t>
      </w:r>
      <w:r w:rsidRPr="0027688E">
        <w:rPr>
          <w:i/>
          <w:sz w:val="16"/>
        </w:rPr>
        <w:t>Projections Overview</w:t>
      </w:r>
      <w:r w:rsidRPr="0027688E">
        <w:rPr>
          <w:sz w:val="16"/>
        </w:rPr>
        <w:t xml:space="preserve"> July 2012.</w:t>
      </w:r>
    </w:p>
  </w:footnote>
  <w:footnote w:id="43">
    <w:p w:rsidR="006E222F" w:rsidRPr="0027688E" w:rsidRDefault="006E222F" w:rsidP="0027688E">
      <w:pPr>
        <w:pStyle w:val="BodyText"/>
        <w:spacing w:before="0" w:afterLines="57" w:after="136"/>
        <w:ind w:left="360" w:hanging="360"/>
      </w:pPr>
      <w:r w:rsidRPr="0027688E">
        <w:rPr>
          <w:rStyle w:val="FootnoteReference"/>
          <w:sz w:val="16"/>
        </w:rPr>
        <w:footnoteRef/>
      </w:r>
      <w:r w:rsidRPr="0027688E">
        <w:rPr>
          <w:rStyle w:val="FootnoteTextChar"/>
          <w:sz w:val="16"/>
        </w:rPr>
        <w:t xml:space="preserve">Davey, J A (2007) </w:t>
      </w:r>
      <w:r w:rsidRPr="0027688E">
        <w:rPr>
          <w:rStyle w:val="FootnoteTextChar"/>
          <w:i/>
          <w:sz w:val="16"/>
        </w:rPr>
        <w:t>Health, Work and Retirement Survey – Summary Report for the 2006 Data Wave: Qualitative Interviews</w:t>
      </w:r>
      <w:r w:rsidRPr="0027688E">
        <w:rPr>
          <w:rStyle w:val="FootnoteTextChar"/>
          <w:sz w:val="16"/>
        </w:rPr>
        <w:t>. Massey University, Palmerston North.</w:t>
      </w:r>
      <w:r w:rsidRPr="0027688E">
        <w:t xml:space="preserve"> </w:t>
      </w:r>
    </w:p>
  </w:footnote>
  <w:footnote w:id="44">
    <w:p w:rsidR="006E222F" w:rsidRPr="0024030D" w:rsidRDefault="006E222F" w:rsidP="00041DC6">
      <w:pPr>
        <w:pStyle w:val="FootnoteText"/>
        <w:tabs>
          <w:tab w:val="left" w:pos="360"/>
        </w:tabs>
        <w:rPr>
          <w:sz w:val="16"/>
        </w:rPr>
      </w:pPr>
      <w:r w:rsidRPr="0027688E">
        <w:rPr>
          <w:sz w:val="16"/>
        </w:rPr>
        <w:t xml:space="preserve">22 Herzog, A, House, J &amp; Morgan, J (1991) Relation of Work and Retirement to Health and Well-Being in Older Age. </w:t>
      </w:r>
      <w:r w:rsidRPr="0027688E">
        <w:rPr>
          <w:i/>
          <w:sz w:val="16"/>
        </w:rPr>
        <w:t>Psychology and Aging</w:t>
      </w:r>
      <w:r w:rsidRPr="0027688E">
        <w:rPr>
          <w:sz w:val="16"/>
        </w:rPr>
        <w:t xml:space="preserve"> 6 (2): 202–211.</w:t>
      </w:r>
    </w:p>
  </w:footnote>
  <w:footnote w:id="45">
    <w:p w:rsidR="006E222F" w:rsidRPr="0024030D" w:rsidRDefault="006E222F" w:rsidP="0033729F">
      <w:pPr>
        <w:pStyle w:val="FootnoteText"/>
        <w:rPr>
          <w:sz w:val="16"/>
        </w:rPr>
      </w:pPr>
      <w:r w:rsidRPr="0024030D">
        <w:rPr>
          <w:rStyle w:val="FootnoteReference"/>
          <w:sz w:val="16"/>
        </w:rPr>
        <w:footnoteRef/>
      </w:r>
      <w:r w:rsidRPr="0024030D">
        <w:rPr>
          <w:sz w:val="16"/>
        </w:rPr>
        <w:t xml:space="preserve">  MSD</w:t>
      </w:r>
    </w:p>
  </w:footnote>
  <w:footnote w:id="46">
    <w:p w:rsidR="006E222F" w:rsidRPr="00F31904" w:rsidRDefault="006E222F" w:rsidP="0033729F">
      <w:pPr>
        <w:pStyle w:val="FootnoteText"/>
        <w:rPr>
          <w:sz w:val="16"/>
        </w:rPr>
      </w:pPr>
      <w:r w:rsidRPr="00F31904">
        <w:rPr>
          <w:rStyle w:val="FootnoteReference"/>
          <w:sz w:val="16"/>
        </w:rPr>
        <w:footnoteRef/>
      </w:r>
      <w:r w:rsidRPr="00F31904">
        <w:rPr>
          <w:sz w:val="16"/>
        </w:rPr>
        <w:t xml:space="preserve"> </w:t>
      </w:r>
      <w:r>
        <w:rPr>
          <w:sz w:val="16"/>
        </w:rPr>
        <w:t xml:space="preserve">Callister P, in </w:t>
      </w:r>
      <w:r w:rsidRPr="002778F7">
        <w:rPr>
          <w:i/>
          <w:sz w:val="16"/>
        </w:rPr>
        <w:t>Implications of Population Ageing: Opportuni</w:t>
      </w:r>
      <w:r>
        <w:rPr>
          <w:i/>
          <w:sz w:val="16"/>
        </w:rPr>
        <w:t>ti</w:t>
      </w:r>
      <w:r w:rsidRPr="002778F7">
        <w:rPr>
          <w:i/>
          <w:sz w:val="16"/>
        </w:rPr>
        <w:t>es and Risks</w:t>
      </w:r>
      <w:r>
        <w:rPr>
          <w:sz w:val="16"/>
        </w:rPr>
        <w:t>. Boston and Davey, 2006. Institute of Policy Studies, Wellington.</w:t>
      </w:r>
    </w:p>
  </w:footnote>
  <w:footnote w:id="47">
    <w:p w:rsidR="006E222F" w:rsidRPr="00B467BE" w:rsidRDefault="006E222F" w:rsidP="0033729F">
      <w:pPr>
        <w:pStyle w:val="FootnoteText"/>
        <w:rPr>
          <w:sz w:val="16"/>
        </w:rPr>
      </w:pPr>
      <w:r w:rsidRPr="00B467BE">
        <w:rPr>
          <w:rStyle w:val="FootnoteReference"/>
          <w:sz w:val="16"/>
        </w:rPr>
        <w:footnoteRef/>
      </w:r>
      <w:r w:rsidRPr="00B467BE">
        <w:rPr>
          <w:sz w:val="16"/>
        </w:rPr>
        <w:t xml:space="preserve"> </w:t>
      </w:r>
      <w:r>
        <w:rPr>
          <w:sz w:val="16"/>
        </w:rPr>
        <w:t>McGregor, J. 2012 Caring Counts Human Rights Commission</w:t>
      </w:r>
    </w:p>
  </w:footnote>
  <w:footnote w:id="48">
    <w:p w:rsidR="006E222F" w:rsidRPr="001C7AE8" w:rsidRDefault="006E222F" w:rsidP="0033729F">
      <w:pPr>
        <w:pStyle w:val="FootnoteText"/>
        <w:rPr>
          <w:sz w:val="16"/>
          <w:szCs w:val="16"/>
        </w:rPr>
      </w:pPr>
      <w:r w:rsidRPr="001C7AE8">
        <w:rPr>
          <w:rStyle w:val="FootnoteReference"/>
          <w:sz w:val="16"/>
          <w:szCs w:val="16"/>
        </w:rPr>
        <w:footnoteRef/>
      </w:r>
      <w:r w:rsidRPr="001C7AE8">
        <w:rPr>
          <w:sz w:val="16"/>
          <w:szCs w:val="16"/>
        </w:rPr>
        <w:t xml:space="preserve"> Inger, L, &amp; Bryson, J. 2007. </w:t>
      </w:r>
      <w:r w:rsidRPr="001C7AE8">
        <w:rPr>
          <w:i/>
          <w:sz w:val="16"/>
          <w:szCs w:val="16"/>
        </w:rPr>
        <w:t>The Ageing Workforce: Retaining, Utilising and Challenging Workers.</w:t>
      </w:r>
      <w:r w:rsidRPr="001C7AE8">
        <w:rPr>
          <w:sz w:val="16"/>
          <w:szCs w:val="16"/>
        </w:rPr>
        <w:t xml:space="preserve">  Victoria University.</w:t>
      </w:r>
    </w:p>
  </w:footnote>
  <w:footnote w:id="49">
    <w:p w:rsidR="006E222F" w:rsidRPr="00E83A7B" w:rsidRDefault="006E222F" w:rsidP="00234C43">
      <w:pPr>
        <w:pStyle w:val="FootnoteText"/>
        <w:rPr>
          <w:sz w:val="16"/>
        </w:rPr>
      </w:pPr>
      <w:r w:rsidRPr="00E83A7B">
        <w:rPr>
          <w:rStyle w:val="FootnoteReference"/>
          <w:sz w:val="16"/>
        </w:rPr>
        <w:footnoteRef/>
      </w:r>
      <w:r w:rsidRPr="00E83A7B">
        <w:rPr>
          <w:sz w:val="16"/>
        </w:rPr>
        <w:t xml:space="preserve"> The Business of Ageing Report uses values expressed in 2006 dollars adjusted for the expected real growth in value of wages between 2011 and 2051.</w:t>
      </w:r>
    </w:p>
  </w:footnote>
  <w:footnote w:id="50">
    <w:p w:rsidR="006E222F" w:rsidRPr="007C1D7C" w:rsidRDefault="006E222F" w:rsidP="00531BC1">
      <w:pPr>
        <w:pStyle w:val="FootnoteText"/>
        <w:rPr>
          <w:i/>
          <w:sz w:val="16"/>
        </w:rPr>
      </w:pPr>
      <w:r w:rsidRPr="007C1D7C">
        <w:rPr>
          <w:rStyle w:val="FootnoteReference"/>
          <w:sz w:val="16"/>
        </w:rPr>
        <w:footnoteRef/>
      </w:r>
      <w:r w:rsidRPr="007C1D7C">
        <w:rPr>
          <w:sz w:val="16"/>
        </w:rPr>
        <w:t xml:space="preserve"> Ministry of social Development, 2010 </w:t>
      </w:r>
      <w:r w:rsidRPr="007C1D7C">
        <w:rPr>
          <w:i/>
          <w:sz w:val="16"/>
        </w:rPr>
        <w:t xml:space="preserve">Business of Ageing Report </w:t>
      </w:r>
    </w:p>
  </w:footnote>
  <w:footnote w:id="51">
    <w:p w:rsidR="006E222F" w:rsidRDefault="006E222F" w:rsidP="003E444F">
      <w:pPr>
        <w:pStyle w:val="FootnoteText"/>
      </w:pPr>
      <w:r>
        <w:rPr>
          <w:rStyle w:val="FootnoteReference"/>
        </w:rPr>
        <w:footnoteRef/>
      </w:r>
      <w:r>
        <w:t xml:space="preserve"> </w:t>
      </w:r>
      <w:r w:rsidRPr="001C7AE8">
        <w:rPr>
          <w:sz w:val="16"/>
          <w:szCs w:val="16"/>
        </w:rPr>
        <w:t>Statistics NZ Projections Overview July 2012</w:t>
      </w:r>
    </w:p>
  </w:footnote>
  <w:footnote w:id="52">
    <w:p w:rsidR="006E222F" w:rsidRPr="005A36F8" w:rsidRDefault="006E222F" w:rsidP="007872FD">
      <w:pPr>
        <w:pStyle w:val="FootnoteText"/>
        <w:rPr>
          <w:sz w:val="16"/>
        </w:rPr>
      </w:pPr>
      <w:r w:rsidRPr="005A36F8">
        <w:rPr>
          <w:rStyle w:val="FootnoteReference"/>
          <w:sz w:val="16"/>
        </w:rPr>
        <w:footnoteRef/>
      </w:r>
      <w:r w:rsidRPr="005A36F8">
        <w:rPr>
          <w:sz w:val="16"/>
        </w:rPr>
        <w:t xml:space="preserve"> </w:t>
      </w:r>
      <w:r>
        <w:rPr>
          <w:sz w:val="16"/>
        </w:rPr>
        <w:t xml:space="preserve">NZIER 2002 </w:t>
      </w:r>
      <w:r w:rsidRPr="005A36F8">
        <w:rPr>
          <w:bCs/>
          <w:sz w:val="16"/>
          <w:szCs w:val="32"/>
        </w:rPr>
        <w:t>Economic drivers and determinants</w:t>
      </w:r>
      <w:r>
        <w:rPr>
          <w:sz w:val="16"/>
        </w:rPr>
        <w:t>. SmartGrowth Report.</w:t>
      </w:r>
    </w:p>
  </w:footnote>
  <w:footnote w:id="53">
    <w:p w:rsidR="006E222F" w:rsidRPr="00450945" w:rsidRDefault="006E222F" w:rsidP="007872FD">
      <w:pPr>
        <w:pStyle w:val="FootnoteText"/>
        <w:rPr>
          <w:sz w:val="16"/>
        </w:rPr>
      </w:pPr>
      <w:r w:rsidRPr="00450945">
        <w:rPr>
          <w:rStyle w:val="FootnoteReference"/>
          <w:sz w:val="16"/>
        </w:rPr>
        <w:footnoteRef/>
      </w:r>
      <w:r w:rsidRPr="00450945">
        <w:rPr>
          <w:sz w:val="16"/>
        </w:rPr>
        <w:t xml:space="preserve"> </w:t>
      </w:r>
      <w:r>
        <w:rPr>
          <w:sz w:val="16"/>
        </w:rPr>
        <w:t>McKinley Douglas. (2002)  Future of the Economy, Trends and Indicators. SmartGrowth Report.</w:t>
      </w:r>
    </w:p>
  </w:footnote>
  <w:footnote w:id="54">
    <w:p w:rsidR="006E222F" w:rsidRDefault="006E222F" w:rsidP="00531BC1">
      <w:pPr>
        <w:pStyle w:val="FootnoteText"/>
      </w:pPr>
      <w:r>
        <w:rPr>
          <w:rStyle w:val="FootnoteReference"/>
        </w:rPr>
        <w:footnoteRef/>
      </w:r>
      <w:r>
        <w:t xml:space="preserve"> </w:t>
      </w:r>
      <w:r w:rsidRPr="00B320BA">
        <w:rPr>
          <w:sz w:val="16"/>
        </w:rPr>
        <w:t>Joseph Coughlin. 2012 AgeLab MIT</w:t>
      </w:r>
      <w:r>
        <w:t xml:space="preserve"> </w:t>
      </w:r>
    </w:p>
  </w:footnote>
  <w:footnote w:id="55">
    <w:p w:rsidR="006E222F" w:rsidRPr="00F864C9" w:rsidRDefault="006E222F" w:rsidP="00BE36AE">
      <w:pPr>
        <w:pStyle w:val="FootnoteText"/>
        <w:rPr>
          <w:sz w:val="16"/>
          <w:szCs w:val="16"/>
        </w:rPr>
      </w:pPr>
      <w:r w:rsidRPr="00F864C9">
        <w:rPr>
          <w:rStyle w:val="FootnoteReference"/>
          <w:sz w:val="16"/>
          <w:szCs w:val="16"/>
        </w:rPr>
        <w:t>A Silver Opportunity? Rising Longevity and its implications for Business. 2011</w:t>
      </w:r>
      <w:r w:rsidRPr="00F864C9">
        <w:rPr>
          <w:sz w:val="16"/>
          <w:szCs w:val="16"/>
        </w:rPr>
        <w:t>The Economist Intelligence Unit.</w:t>
      </w:r>
    </w:p>
  </w:footnote>
  <w:footnote w:id="56">
    <w:p w:rsidR="006E222F" w:rsidRPr="00F864C9" w:rsidRDefault="006E222F" w:rsidP="00BE36AE">
      <w:pPr>
        <w:pStyle w:val="FootnoteText"/>
        <w:rPr>
          <w:sz w:val="16"/>
          <w:szCs w:val="16"/>
        </w:rPr>
      </w:pPr>
      <w:r w:rsidRPr="00F864C9">
        <w:rPr>
          <w:rStyle w:val="FootnoteReference"/>
          <w:sz w:val="16"/>
          <w:szCs w:val="16"/>
        </w:rPr>
        <w:footnoteRef/>
      </w:r>
      <w:r w:rsidRPr="00F864C9">
        <w:rPr>
          <w:sz w:val="16"/>
          <w:szCs w:val="16"/>
        </w:rPr>
        <w:t xml:space="preserve"> Boston Consulting Group, 2011. Global Ageing: How Companies Can Adapt to the New Reality.</w:t>
      </w:r>
    </w:p>
  </w:footnote>
  <w:footnote w:id="57">
    <w:p w:rsidR="006E222F" w:rsidRPr="003C33AA" w:rsidRDefault="006E222F" w:rsidP="006860C4">
      <w:pPr>
        <w:pStyle w:val="FootnoteText"/>
        <w:rPr>
          <w:sz w:val="16"/>
        </w:rPr>
      </w:pPr>
      <w:r w:rsidRPr="003C33AA">
        <w:rPr>
          <w:rStyle w:val="FootnoteReference"/>
          <w:sz w:val="16"/>
        </w:rPr>
        <w:footnoteRef/>
      </w:r>
      <w:r w:rsidRPr="003C33AA">
        <w:rPr>
          <w:sz w:val="16"/>
        </w:rPr>
        <w:t xml:space="preserve"> </w:t>
      </w:r>
      <w:r>
        <w:rPr>
          <w:sz w:val="16"/>
        </w:rPr>
        <w:t>SUPA-NZ. Seniors United to Promote Age-friendly New Zealand.</w:t>
      </w:r>
    </w:p>
  </w:footnote>
  <w:footnote w:id="58">
    <w:p w:rsidR="006E222F" w:rsidRPr="008724E6" w:rsidRDefault="006E222F" w:rsidP="006860C4">
      <w:pPr>
        <w:pStyle w:val="FootnoteText"/>
        <w:rPr>
          <w:sz w:val="16"/>
          <w:szCs w:val="16"/>
        </w:rPr>
      </w:pPr>
      <w:r w:rsidRPr="008724E6">
        <w:rPr>
          <w:rStyle w:val="FootnoteReference"/>
          <w:sz w:val="16"/>
          <w:szCs w:val="16"/>
        </w:rPr>
        <w:footnoteRef/>
      </w:r>
      <w:r w:rsidRPr="008724E6">
        <w:rPr>
          <w:sz w:val="16"/>
          <w:szCs w:val="16"/>
        </w:rPr>
        <w:t xml:space="preserve"> Boston Consulting Group, Economist Intelligence Unit, Silver Group, Harvard.</w:t>
      </w:r>
    </w:p>
    <w:p w:rsidR="006E222F" w:rsidRPr="008724E6" w:rsidRDefault="006E222F" w:rsidP="006860C4">
      <w:pPr>
        <w:pStyle w:val="FootnoteText"/>
        <w:rPr>
          <w:sz w:val="16"/>
          <w:szCs w:val="16"/>
        </w:rPr>
      </w:pPr>
    </w:p>
  </w:footnote>
  <w:footnote w:id="59">
    <w:p w:rsidR="006E222F" w:rsidRPr="003F13EA" w:rsidRDefault="006E222F" w:rsidP="00AD01E2">
      <w:pPr>
        <w:pStyle w:val="FootnoteText"/>
        <w:rPr>
          <w:sz w:val="16"/>
          <w:szCs w:val="16"/>
        </w:rPr>
      </w:pPr>
      <w:r w:rsidRPr="003F13EA">
        <w:rPr>
          <w:rStyle w:val="FootnoteReference"/>
          <w:sz w:val="16"/>
          <w:szCs w:val="16"/>
        </w:rPr>
        <w:footnoteRef/>
      </w:r>
      <w:r w:rsidRPr="003F13EA">
        <w:rPr>
          <w:sz w:val="16"/>
          <w:szCs w:val="16"/>
        </w:rPr>
        <w:t xml:space="preserve"> The Business of Ageing Report, 2010. Ministry of Social Development.</w:t>
      </w:r>
    </w:p>
  </w:footnote>
  <w:footnote w:id="60">
    <w:p w:rsidR="006E222F" w:rsidRPr="00AC6FBE" w:rsidRDefault="006E222F" w:rsidP="00BE36AE">
      <w:pPr>
        <w:pStyle w:val="FootnoteText"/>
        <w:rPr>
          <w:sz w:val="16"/>
        </w:rPr>
      </w:pPr>
      <w:r w:rsidRPr="00AC6FBE">
        <w:rPr>
          <w:rStyle w:val="FootnoteReference"/>
          <w:sz w:val="16"/>
        </w:rPr>
        <w:footnoteRef/>
      </w:r>
      <w:r w:rsidRPr="00AC6FBE">
        <w:rPr>
          <w:sz w:val="16"/>
        </w:rPr>
        <w:t xml:space="preserve"> </w:t>
      </w:r>
      <w:r>
        <w:rPr>
          <w:sz w:val="16"/>
        </w:rPr>
        <w:t>McKinlay Douglas 2002</w:t>
      </w:r>
    </w:p>
  </w:footnote>
  <w:footnote w:id="61">
    <w:p w:rsidR="006E222F" w:rsidRPr="002A4DC5" w:rsidRDefault="006E222F" w:rsidP="00BE36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sz w:val="16"/>
        </w:rPr>
      </w:pPr>
      <w:r w:rsidRPr="002A4DC5">
        <w:rPr>
          <w:rStyle w:val="FootnoteReference"/>
          <w:sz w:val="16"/>
        </w:rPr>
        <w:footnoteRef/>
      </w:r>
      <w:r w:rsidRPr="002A4DC5">
        <w:rPr>
          <w:sz w:val="16"/>
        </w:rPr>
        <w:t xml:space="preserve"> </w:t>
      </w:r>
      <w:r w:rsidRPr="002A4DC5">
        <w:rPr>
          <w:rFonts w:ascii="Helvetica" w:hAnsi="Helvetica" w:cs="Helvetica"/>
          <w:sz w:val="16"/>
        </w:rPr>
        <w:t>http://sbe.balikesir.edu.tr/dergi/edergi/c6s9/makale/c6s9m7.pdf</w:t>
      </w:r>
    </w:p>
  </w:footnote>
  <w:footnote w:id="62">
    <w:p w:rsidR="006E222F" w:rsidRPr="002A4DC5" w:rsidRDefault="006E222F" w:rsidP="00BE36AE">
      <w:pPr>
        <w:pStyle w:val="FootnoteText"/>
        <w:rPr>
          <w:sz w:val="16"/>
        </w:rPr>
      </w:pPr>
      <w:r w:rsidRPr="002A4DC5">
        <w:rPr>
          <w:rStyle w:val="FootnoteReference"/>
          <w:sz w:val="16"/>
        </w:rPr>
        <w:footnoteRef/>
      </w:r>
      <w:r w:rsidRPr="002A4DC5">
        <w:rPr>
          <w:sz w:val="16"/>
        </w:rPr>
        <w:t xml:space="preserve"> </w:t>
      </w:r>
      <w:r>
        <w:rPr>
          <w:sz w:val="16"/>
        </w:rPr>
        <w:t>Julia Unwin. (2011) Joseph Rowntree Foundation.</w:t>
      </w:r>
    </w:p>
  </w:footnote>
  <w:footnote w:id="63">
    <w:p w:rsidR="006E222F" w:rsidRPr="00D64734" w:rsidRDefault="006E222F" w:rsidP="00BE36AE">
      <w:pPr>
        <w:pStyle w:val="FootnoteText"/>
        <w:rPr>
          <w:sz w:val="16"/>
        </w:rPr>
      </w:pPr>
      <w:r w:rsidRPr="00D64734">
        <w:rPr>
          <w:rStyle w:val="FootnoteReference"/>
          <w:sz w:val="16"/>
        </w:rPr>
        <w:footnoteRef/>
      </w:r>
      <w:r w:rsidRPr="00D64734">
        <w:rPr>
          <w:sz w:val="16"/>
        </w:rPr>
        <w:t xml:space="preserve"> </w:t>
      </w:r>
      <w:r>
        <w:rPr>
          <w:sz w:val="16"/>
        </w:rPr>
        <w:t>The Economist Intelligence Unit 2011</w:t>
      </w:r>
    </w:p>
  </w:footnote>
  <w:footnote w:id="64">
    <w:p w:rsidR="006E222F" w:rsidRPr="00961AB9" w:rsidRDefault="006E222F" w:rsidP="00BE36AE">
      <w:pPr>
        <w:pStyle w:val="FootnoteText"/>
        <w:rPr>
          <w:i/>
          <w:sz w:val="16"/>
        </w:rPr>
      </w:pPr>
      <w:r w:rsidRPr="00961AB9">
        <w:rPr>
          <w:rStyle w:val="FootnoteReference"/>
          <w:sz w:val="16"/>
        </w:rPr>
        <w:footnoteRef/>
      </w:r>
      <w:r w:rsidRPr="00961AB9">
        <w:rPr>
          <w:sz w:val="16"/>
        </w:rPr>
        <w:t xml:space="preserve"> </w:t>
      </w:r>
      <w:r>
        <w:rPr>
          <w:sz w:val="16"/>
        </w:rPr>
        <w:t xml:space="preserve">United Nations. 2011. </w:t>
      </w:r>
      <w:r w:rsidRPr="00961AB9">
        <w:rPr>
          <w:i/>
          <w:sz w:val="16"/>
        </w:rPr>
        <w:t>World Population Prospects.</w:t>
      </w:r>
    </w:p>
  </w:footnote>
  <w:footnote w:id="65">
    <w:p w:rsidR="006E222F" w:rsidRPr="00961AB9" w:rsidRDefault="006E222F" w:rsidP="00BE36AE">
      <w:pPr>
        <w:pStyle w:val="FootnoteText"/>
        <w:rPr>
          <w:sz w:val="16"/>
        </w:rPr>
      </w:pPr>
      <w:r w:rsidRPr="00961AB9">
        <w:rPr>
          <w:rStyle w:val="FootnoteReference"/>
          <w:sz w:val="16"/>
        </w:rPr>
        <w:footnoteRef/>
      </w:r>
      <w:r w:rsidRPr="00961AB9">
        <w:rPr>
          <w:sz w:val="16"/>
        </w:rPr>
        <w:t xml:space="preserve"> Statistics NZ June 201</w:t>
      </w:r>
      <w:r>
        <w:rPr>
          <w:sz w:val="16"/>
        </w:rPr>
        <w:t>1</w:t>
      </w:r>
      <w:r w:rsidRPr="00961AB9">
        <w:rPr>
          <w:sz w:val="16"/>
        </w:rPr>
        <w:t xml:space="preserve"> Projections.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222F" w:rsidRDefault="006E222F" w:rsidP="006037AE">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rsidR="006E222F" w:rsidRDefault="006E222F" w:rsidP="006037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1EAC"/>
    <w:multiLevelType w:val="hybridMultilevel"/>
    <w:tmpl w:val="BF3265C8"/>
    <w:lvl w:ilvl="0" w:tplc="14090005">
      <w:start w:val="1"/>
      <w:numFmt w:val="bullet"/>
      <w:lvlText w:val=""/>
      <w:lvlJc w:val="left"/>
      <w:pPr>
        <w:ind w:left="1859" w:hanging="360"/>
      </w:pPr>
      <w:rPr>
        <w:rFonts w:ascii="Wingdings" w:hAnsi="Wingdings" w:hint="default"/>
      </w:rPr>
    </w:lvl>
    <w:lvl w:ilvl="1" w:tplc="14090003" w:tentative="1">
      <w:start w:val="1"/>
      <w:numFmt w:val="bullet"/>
      <w:lvlText w:val="o"/>
      <w:lvlJc w:val="left"/>
      <w:pPr>
        <w:ind w:left="2579" w:hanging="360"/>
      </w:pPr>
      <w:rPr>
        <w:rFonts w:ascii="Courier New" w:hAnsi="Courier New" w:cs="Courier New" w:hint="default"/>
      </w:rPr>
    </w:lvl>
    <w:lvl w:ilvl="2" w:tplc="14090005" w:tentative="1">
      <w:start w:val="1"/>
      <w:numFmt w:val="bullet"/>
      <w:lvlText w:val=""/>
      <w:lvlJc w:val="left"/>
      <w:pPr>
        <w:ind w:left="3299" w:hanging="360"/>
      </w:pPr>
      <w:rPr>
        <w:rFonts w:ascii="Wingdings" w:hAnsi="Wingdings" w:hint="default"/>
      </w:rPr>
    </w:lvl>
    <w:lvl w:ilvl="3" w:tplc="14090001" w:tentative="1">
      <w:start w:val="1"/>
      <w:numFmt w:val="bullet"/>
      <w:lvlText w:val=""/>
      <w:lvlJc w:val="left"/>
      <w:pPr>
        <w:ind w:left="4019" w:hanging="360"/>
      </w:pPr>
      <w:rPr>
        <w:rFonts w:ascii="Symbol" w:hAnsi="Symbol" w:hint="default"/>
      </w:rPr>
    </w:lvl>
    <w:lvl w:ilvl="4" w:tplc="14090003" w:tentative="1">
      <w:start w:val="1"/>
      <w:numFmt w:val="bullet"/>
      <w:lvlText w:val="o"/>
      <w:lvlJc w:val="left"/>
      <w:pPr>
        <w:ind w:left="4739" w:hanging="360"/>
      </w:pPr>
      <w:rPr>
        <w:rFonts w:ascii="Courier New" w:hAnsi="Courier New" w:cs="Courier New" w:hint="default"/>
      </w:rPr>
    </w:lvl>
    <w:lvl w:ilvl="5" w:tplc="14090005" w:tentative="1">
      <w:start w:val="1"/>
      <w:numFmt w:val="bullet"/>
      <w:lvlText w:val=""/>
      <w:lvlJc w:val="left"/>
      <w:pPr>
        <w:ind w:left="5459" w:hanging="360"/>
      </w:pPr>
      <w:rPr>
        <w:rFonts w:ascii="Wingdings" w:hAnsi="Wingdings" w:hint="default"/>
      </w:rPr>
    </w:lvl>
    <w:lvl w:ilvl="6" w:tplc="14090001" w:tentative="1">
      <w:start w:val="1"/>
      <w:numFmt w:val="bullet"/>
      <w:lvlText w:val=""/>
      <w:lvlJc w:val="left"/>
      <w:pPr>
        <w:ind w:left="6179" w:hanging="360"/>
      </w:pPr>
      <w:rPr>
        <w:rFonts w:ascii="Symbol" w:hAnsi="Symbol" w:hint="default"/>
      </w:rPr>
    </w:lvl>
    <w:lvl w:ilvl="7" w:tplc="14090003" w:tentative="1">
      <w:start w:val="1"/>
      <w:numFmt w:val="bullet"/>
      <w:lvlText w:val="o"/>
      <w:lvlJc w:val="left"/>
      <w:pPr>
        <w:ind w:left="6899" w:hanging="360"/>
      </w:pPr>
      <w:rPr>
        <w:rFonts w:ascii="Courier New" w:hAnsi="Courier New" w:cs="Courier New" w:hint="default"/>
      </w:rPr>
    </w:lvl>
    <w:lvl w:ilvl="8" w:tplc="14090005" w:tentative="1">
      <w:start w:val="1"/>
      <w:numFmt w:val="bullet"/>
      <w:lvlText w:val=""/>
      <w:lvlJc w:val="left"/>
      <w:pPr>
        <w:ind w:left="7619" w:hanging="360"/>
      </w:pPr>
      <w:rPr>
        <w:rFonts w:ascii="Wingdings" w:hAnsi="Wingdings" w:hint="default"/>
      </w:rPr>
    </w:lvl>
  </w:abstractNum>
  <w:abstractNum w:abstractNumId="1">
    <w:nsid w:val="0A010B81"/>
    <w:multiLevelType w:val="hybridMultilevel"/>
    <w:tmpl w:val="026414BC"/>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B8A4FAC"/>
    <w:multiLevelType w:val="hybridMultilevel"/>
    <w:tmpl w:val="70C4768E"/>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15940C4"/>
    <w:multiLevelType w:val="hybridMultilevel"/>
    <w:tmpl w:val="6FEC35FE"/>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44E2A1A"/>
    <w:multiLevelType w:val="multilevel"/>
    <w:tmpl w:val="DFA8F54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68226E0"/>
    <w:multiLevelType w:val="hybridMultilevel"/>
    <w:tmpl w:val="2C8A105A"/>
    <w:lvl w:ilvl="0" w:tplc="FA5E9002">
      <w:start w:val="1"/>
      <w:numFmt w:val="bullet"/>
      <w:lvlText w:val=""/>
      <w:lvlJc w:val="left"/>
      <w:pPr>
        <w:tabs>
          <w:tab w:val="num" w:pos="567"/>
        </w:tabs>
        <w:ind w:left="567" w:hanging="567"/>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6CE02B3"/>
    <w:multiLevelType w:val="hybridMultilevel"/>
    <w:tmpl w:val="F502FEA6"/>
    <w:lvl w:ilvl="0" w:tplc="A7226CD0">
      <w:start w:val="1"/>
      <w:numFmt w:val="bullet"/>
      <w:lvlText w:val=""/>
      <w:lvlJc w:val="left"/>
      <w:pPr>
        <w:tabs>
          <w:tab w:val="num" w:pos="567"/>
        </w:tabs>
        <w:ind w:left="567" w:hanging="567"/>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78B6F41"/>
    <w:multiLevelType w:val="hybridMultilevel"/>
    <w:tmpl w:val="BFA83A9E"/>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8D13F62"/>
    <w:multiLevelType w:val="hybridMultilevel"/>
    <w:tmpl w:val="59E8B37A"/>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59C1448"/>
    <w:multiLevelType w:val="hybridMultilevel"/>
    <w:tmpl w:val="6608CE9C"/>
    <w:lvl w:ilvl="0" w:tplc="14090005">
      <w:start w:val="1"/>
      <w:numFmt w:val="bullet"/>
      <w:lvlText w:val=""/>
      <w:lvlJc w:val="left"/>
      <w:pPr>
        <w:ind w:left="1280" w:hanging="360"/>
      </w:pPr>
      <w:rPr>
        <w:rFonts w:ascii="Wingdings" w:hAnsi="Wingdings" w:hint="default"/>
      </w:rPr>
    </w:lvl>
    <w:lvl w:ilvl="1" w:tplc="04090003" w:tentative="1">
      <w:start w:val="1"/>
      <w:numFmt w:val="bullet"/>
      <w:lvlText w:val="o"/>
      <w:lvlJc w:val="left"/>
      <w:pPr>
        <w:ind w:left="2000" w:hanging="360"/>
      </w:pPr>
      <w:rPr>
        <w:rFonts w:ascii="Courier New" w:hAnsi="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10">
    <w:nsid w:val="283E034C"/>
    <w:multiLevelType w:val="hybridMultilevel"/>
    <w:tmpl w:val="664034E0"/>
    <w:lvl w:ilvl="0" w:tplc="14090005">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83F3243"/>
    <w:multiLevelType w:val="hybridMultilevel"/>
    <w:tmpl w:val="93C44AA4"/>
    <w:lvl w:ilvl="0" w:tplc="B3428C9A">
      <w:start w:val="1"/>
      <w:numFmt w:val="bullet"/>
      <w:pStyle w:val="bullet1"/>
      <w:lvlText w:val="•"/>
      <w:lvlJc w:val="left"/>
      <w:pPr>
        <w:tabs>
          <w:tab w:val="num" w:pos="360"/>
        </w:tabs>
        <w:ind w:left="1080" w:hanging="360"/>
      </w:pPr>
      <w:rPr>
        <w:rFonts w:ascii="Trebuchet MS" w:hAnsi="Trebuchet MS" w:hint="default"/>
        <w:color w:val="54534C"/>
        <w:sz w:val="20"/>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2">
    <w:nsid w:val="286D173C"/>
    <w:multiLevelType w:val="hybridMultilevel"/>
    <w:tmpl w:val="23B89A5A"/>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1362BA1"/>
    <w:multiLevelType w:val="hybridMultilevel"/>
    <w:tmpl w:val="BEA42586"/>
    <w:lvl w:ilvl="0" w:tplc="D1740F78">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4">
    <w:nsid w:val="34FB2FE5"/>
    <w:multiLevelType w:val="multilevel"/>
    <w:tmpl w:val="0FC44B08"/>
    <w:lvl w:ilvl="0">
      <w:start w:val="1"/>
      <w:numFmt w:val="decimal"/>
      <w:pStyle w:val="Heading1"/>
      <w:lvlText w:val="%1"/>
      <w:lvlJc w:val="left"/>
      <w:pPr>
        <w:ind w:left="432" w:hanging="432"/>
      </w:pPr>
      <w:rPr>
        <w:rFonts w:hint="default"/>
        <w:b/>
        <w:i w:val="0"/>
        <w:caps/>
        <w:color w:val="17365D"/>
        <w:sz w:val="24"/>
      </w:rPr>
    </w:lvl>
    <w:lvl w:ilvl="1">
      <w:start w:val="1"/>
      <w:numFmt w:val="decimal"/>
      <w:pStyle w:val="Heading2"/>
      <w:lvlText w:val="%1.%2"/>
      <w:lvlJc w:val="left"/>
      <w:pPr>
        <w:ind w:left="576" w:hanging="576"/>
      </w:pPr>
      <w:rPr>
        <w:rFonts w:hint="default"/>
        <w:b/>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rFonts w:hint="default"/>
        <w:b/>
        <w:i w:val="0"/>
        <w:color w:val="000000"/>
        <w:sz w:val="22"/>
      </w:rPr>
    </w:lvl>
    <w:lvl w:ilvl="3">
      <w:start w:val="1"/>
      <w:numFmt w:val="decimal"/>
      <w:pStyle w:val="Heading4"/>
      <w:lvlText w:val="%1.%2.%3.%4"/>
      <w:lvlJc w:val="left"/>
      <w:pPr>
        <w:ind w:left="864" w:hanging="864"/>
      </w:pPr>
      <w:rPr>
        <w:rFonts w:hint="default"/>
        <w:b w:val="0"/>
        <w:i w:val="0"/>
        <w:color w:val="000000"/>
        <w:sz w:val="22"/>
      </w:rPr>
    </w:lvl>
    <w:lvl w:ilvl="4">
      <w:start w:val="1"/>
      <w:numFmt w:val="decimal"/>
      <w:pStyle w:val="Heading5"/>
      <w:lvlText w:val="%1.%2.%3.%4.%5"/>
      <w:lvlJc w:val="left"/>
      <w:pPr>
        <w:ind w:left="1008" w:hanging="1008"/>
      </w:pPr>
      <w:rPr>
        <w:rFonts w:hint="default"/>
        <w:color w:val="000000"/>
        <w:sz w:val="23"/>
      </w:rPr>
    </w:lvl>
    <w:lvl w:ilvl="5">
      <w:start w:val="1"/>
      <w:numFmt w:val="decimal"/>
      <w:pStyle w:val="Heading6"/>
      <w:lvlText w:val="%1.%2.%3.%4.%5.%6"/>
      <w:lvlJc w:val="left"/>
      <w:pPr>
        <w:ind w:left="1152" w:hanging="1152"/>
      </w:pPr>
      <w:rPr>
        <w:rFonts w:hint="default"/>
        <w:color w:val="000000"/>
      </w:rPr>
    </w:lvl>
    <w:lvl w:ilvl="6">
      <w:start w:val="1"/>
      <w:numFmt w:val="decimal"/>
      <w:pStyle w:val="Heading7"/>
      <w:lvlText w:val="%1.%2.%3.%4.%5.%6.%7"/>
      <w:lvlJc w:val="left"/>
      <w:pPr>
        <w:ind w:left="1296" w:hanging="1296"/>
      </w:pPr>
      <w:rPr>
        <w:rFonts w:hint="default"/>
        <w:color w:val="000000"/>
      </w:rPr>
    </w:lvl>
    <w:lvl w:ilvl="7">
      <w:start w:val="1"/>
      <w:numFmt w:val="decimal"/>
      <w:pStyle w:val="Heading8"/>
      <w:lvlText w:val="%1.%2.%3.%4.%5.%6.%7.%8"/>
      <w:lvlJc w:val="left"/>
      <w:pPr>
        <w:ind w:left="1440" w:hanging="1440"/>
      </w:pPr>
      <w:rPr>
        <w:rFonts w:hint="default"/>
        <w:color w:val="000000"/>
      </w:rPr>
    </w:lvl>
    <w:lvl w:ilvl="8">
      <w:start w:val="1"/>
      <w:numFmt w:val="decimal"/>
      <w:pStyle w:val="Heading9"/>
      <w:lvlText w:val="%1.%2.%3.%4.%5.%6.%7.%8.%9"/>
      <w:lvlJc w:val="left"/>
      <w:pPr>
        <w:ind w:left="1584" w:hanging="1584"/>
      </w:pPr>
      <w:rPr>
        <w:rFonts w:hint="default"/>
        <w:color w:val="000000"/>
      </w:rPr>
    </w:lvl>
  </w:abstractNum>
  <w:abstractNum w:abstractNumId="15">
    <w:nsid w:val="3F7641A2"/>
    <w:multiLevelType w:val="hybridMultilevel"/>
    <w:tmpl w:val="3084B9A8"/>
    <w:lvl w:ilvl="0" w:tplc="A43AF5AA">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6">
    <w:nsid w:val="44E26665"/>
    <w:multiLevelType w:val="hybridMultilevel"/>
    <w:tmpl w:val="872415AE"/>
    <w:lvl w:ilvl="0" w:tplc="4A3070A2">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7">
    <w:nsid w:val="47387E8D"/>
    <w:multiLevelType w:val="hybridMultilevel"/>
    <w:tmpl w:val="57AAA694"/>
    <w:lvl w:ilvl="0" w:tplc="6A2EE5E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4896608E"/>
    <w:multiLevelType w:val="hybridMultilevel"/>
    <w:tmpl w:val="F83CCCD4"/>
    <w:lvl w:ilvl="0" w:tplc="1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326592"/>
    <w:multiLevelType w:val="hybridMultilevel"/>
    <w:tmpl w:val="4EC68A1E"/>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4173F00"/>
    <w:multiLevelType w:val="hybridMultilevel"/>
    <w:tmpl w:val="014AE060"/>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71A36A9"/>
    <w:multiLevelType w:val="hybridMultilevel"/>
    <w:tmpl w:val="30323C48"/>
    <w:lvl w:ilvl="0" w:tplc="D68EB03A">
      <w:start w:val="1"/>
      <w:numFmt w:val="bullet"/>
      <w:lvlText w:val=""/>
      <w:lvlJc w:val="left"/>
      <w:pPr>
        <w:tabs>
          <w:tab w:val="num" w:pos="567"/>
        </w:tabs>
        <w:ind w:left="567" w:hanging="567"/>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73968EA"/>
    <w:multiLevelType w:val="hybridMultilevel"/>
    <w:tmpl w:val="71985064"/>
    <w:lvl w:ilvl="0" w:tplc="1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94D1E1B"/>
    <w:multiLevelType w:val="hybridMultilevel"/>
    <w:tmpl w:val="2D30060E"/>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5C8051D9"/>
    <w:multiLevelType w:val="hybridMultilevel"/>
    <w:tmpl w:val="5AA83ECA"/>
    <w:lvl w:ilvl="0" w:tplc="1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980797"/>
    <w:multiLevelType w:val="hybridMultilevel"/>
    <w:tmpl w:val="FBBC20D4"/>
    <w:lvl w:ilvl="0" w:tplc="B97E8594">
      <w:numFmt w:val="bullet"/>
      <w:lvlText w:val="-"/>
      <w:lvlJc w:val="left"/>
      <w:pPr>
        <w:ind w:left="644" w:hanging="360"/>
      </w:pPr>
      <w:rPr>
        <w:rFonts w:ascii="Arial" w:eastAsia="Times New Roman" w:hAnsi="Arial" w:cs="Arial" w:hint="default"/>
      </w:rPr>
    </w:lvl>
    <w:lvl w:ilvl="1" w:tplc="14090003" w:tentative="1">
      <w:start w:val="1"/>
      <w:numFmt w:val="bullet"/>
      <w:lvlText w:val="o"/>
      <w:lvlJc w:val="left"/>
      <w:pPr>
        <w:ind w:left="1364" w:hanging="360"/>
      </w:pPr>
      <w:rPr>
        <w:rFonts w:ascii="Courier New" w:hAnsi="Courier New" w:cs="Courier New" w:hint="default"/>
      </w:rPr>
    </w:lvl>
    <w:lvl w:ilvl="2" w:tplc="14090005" w:tentative="1">
      <w:start w:val="1"/>
      <w:numFmt w:val="bullet"/>
      <w:lvlText w:val=""/>
      <w:lvlJc w:val="left"/>
      <w:pPr>
        <w:ind w:left="2084" w:hanging="360"/>
      </w:pPr>
      <w:rPr>
        <w:rFonts w:ascii="Wingdings" w:hAnsi="Wingdings" w:hint="default"/>
      </w:rPr>
    </w:lvl>
    <w:lvl w:ilvl="3" w:tplc="14090001" w:tentative="1">
      <w:start w:val="1"/>
      <w:numFmt w:val="bullet"/>
      <w:lvlText w:val=""/>
      <w:lvlJc w:val="left"/>
      <w:pPr>
        <w:ind w:left="2804" w:hanging="360"/>
      </w:pPr>
      <w:rPr>
        <w:rFonts w:ascii="Symbol" w:hAnsi="Symbol" w:hint="default"/>
      </w:rPr>
    </w:lvl>
    <w:lvl w:ilvl="4" w:tplc="14090003" w:tentative="1">
      <w:start w:val="1"/>
      <w:numFmt w:val="bullet"/>
      <w:lvlText w:val="o"/>
      <w:lvlJc w:val="left"/>
      <w:pPr>
        <w:ind w:left="3524" w:hanging="360"/>
      </w:pPr>
      <w:rPr>
        <w:rFonts w:ascii="Courier New" w:hAnsi="Courier New" w:cs="Courier New" w:hint="default"/>
      </w:rPr>
    </w:lvl>
    <w:lvl w:ilvl="5" w:tplc="14090005" w:tentative="1">
      <w:start w:val="1"/>
      <w:numFmt w:val="bullet"/>
      <w:lvlText w:val=""/>
      <w:lvlJc w:val="left"/>
      <w:pPr>
        <w:ind w:left="4244" w:hanging="360"/>
      </w:pPr>
      <w:rPr>
        <w:rFonts w:ascii="Wingdings" w:hAnsi="Wingdings" w:hint="default"/>
      </w:rPr>
    </w:lvl>
    <w:lvl w:ilvl="6" w:tplc="14090001" w:tentative="1">
      <w:start w:val="1"/>
      <w:numFmt w:val="bullet"/>
      <w:lvlText w:val=""/>
      <w:lvlJc w:val="left"/>
      <w:pPr>
        <w:ind w:left="4964" w:hanging="360"/>
      </w:pPr>
      <w:rPr>
        <w:rFonts w:ascii="Symbol" w:hAnsi="Symbol" w:hint="default"/>
      </w:rPr>
    </w:lvl>
    <w:lvl w:ilvl="7" w:tplc="14090003" w:tentative="1">
      <w:start w:val="1"/>
      <w:numFmt w:val="bullet"/>
      <w:lvlText w:val="o"/>
      <w:lvlJc w:val="left"/>
      <w:pPr>
        <w:ind w:left="5684" w:hanging="360"/>
      </w:pPr>
      <w:rPr>
        <w:rFonts w:ascii="Courier New" w:hAnsi="Courier New" w:cs="Courier New" w:hint="default"/>
      </w:rPr>
    </w:lvl>
    <w:lvl w:ilvl="8" w:tplc="14090005" w:tentative="1">
      <w:start w:val="1"/>
      <w:numFmt w:val="bullet"/>
      <w:lvlText w:val=""/>
      <w:lvlJc w:val="left"/>
      <w:pPr>
        <w:ind w:left="6404" w:hanging="360"/>
      </w:pPr>
      <w:rPr>
        <w:rFonts w:ascii="Wingdings" w:hAnsi="Wingdings" w:hint="default"/>
      </w:rPr>
    </w:lvl>
  </w:abstractNum>
  <w:abstractNum w:abstractNumId="26">
    <w:nsid w:val="64A548BC"/>
    <w:multiLevelType w:val="hybridMultilevel"/>
    <w:tmpl w:val="D53E480C"/>
    <w:lvl w:ilvl="0" w:tplc="3126FD38">
      <w:start w:val="1"/>
      <w:numFmt w:val="lowerLetter"/>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7">
    <w:nsid w:val="65F23980"/>
    <w:multiLevelType w:val="hybridMultilevel"/>
    <w:tmpl w:val="3D069FB0"/>
    <w:lvl w:ilvl="0" w:tplc="C3ECD516">
      <w:start w:val="1"/>
      <w:numFmt w:val="bullet"/>
      <w:lvlText w:val=""/>
      <w:lvlJc w:val="left"/>
      <w:pPr>
        <w:tabs>
          <w:tab w:val="num" w:pos="567"/>
        </w:tabs>
        <w:ind w:left="567" w:hanging="567"/>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A95E64"/>
    <w:multiLevelType w:val="hybridMultilevel"/>
    <w:tmpl w:val="D494E8DC"/>
    <w:lvl w:ilvl="0" w:tplc="1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245509"/>
    <w:multiLevelType w:val="hybridMultilevel"/>
    <w:tmpl w:val="27EAC314"/>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6D412AF3"/>
    <w:multiLevelType w:val="hybridMultilevel"/>
    <w:tmpl w:val="7A26A6F2"/>
    <w:lvl w:ilvl="0" w:tplc="3F4CB948">
      <w:start w:val="1"/>
      <w:numFmt w:v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CA2A49"/>
    <w:multiLevelType w:val="hybridMultilevel"/>
    <w:tmpl w:val="752C7C3C"/>
    <w:lvl w:ilvl="0" w:tplc="4C20D614">
      <w:start w:val="1"/>
      <w:numFmt w:val="bullet"/>
      <w:lvlText w:val=""/>
      <w:lvlJc w:val="left"/>
      <w:pPr>
        <w:tabs>
          <w:tab w:val="num" w:pos="567"/>
        </w:tabs>
        <w:ind w:left="567" w:hanging="567"/>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7CA4740A"/>
    <w:multiLevelType w:val="hybridMultilevel"/>
    <w:tmpl w:val="EFAC2CAA"/>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7D981683"/>
    <w:multiLevelType w:val="hybridMultilevel"/>
    <w:tmpl w:val="8D2AF9EE"/>
    <w:lvl w:ilvl="0" w:tplc="14090005">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27"/>
  </w:num>
  <w:num w:numId="4">
    <w:abstractNumId w:val="30"/>
  </w:num>
  <w:num w:numId="5">
    <w:abstractNumId w:val="11"/>
  </w:num>
  <w:num w:numId="6">
    <w:abstractNumId w:val="21"/>
  </w:num>
  <w:num w:numId="7">
    <w:abstractNumId w:val="31"/>
  </w:num>
  <w:num w:numId="8">
    <w:abstractNumId w:val="6"/>
  </w:num>
  <w:num w:numId="9">
    <w:abstractNumId w:val="4"/>
  </w:num>
  <w:num w:numId="10">
    <w:abstractNumId w:val="29"/>
  </w:num>
  <w:num w:numId="11">
    <w:abstractNumId w:val="20"/>
  </w:num>
  <w:num w:numId="12">
    <w:abstractNumId w:val="2"/>
  </w:num>
  <w:num w:numId="13">
    <w:abstractNumId w:val="33"/>
  </w:num>
  <w:num w:numId="14">
    <w:abstractNumId w:val="9"/>
  </w:num>
  <w:num w:numId="15">
    <w:abstractNumId w:val="10"/>
  </w:num>
  <w:num w:numId="16">
    <w:abstractNumId w:val="18"/>
  </w:num>
  <w:num w:numId="17">
    <w:abstractNumId w:val="28"/>
  </w:num>
  <w:num w:numId="18">
    <w:abstractNumId w:val="14"/>
  </w:num>
  <w:num w:numId="19">
    <w:abstractNumId w:val="24"/>
  </w:num>
  <w:num w:numId="20">
    <w:abstractNumId w:val="19"/>
  </w:num>
  <w:num w:numId="21">
    <w:abstractNumId w:val="25"/>
  </w:num>
  <w:num w:numId="22">
    <w:abstractNumId w:val="23"/>
  </w:num>
  <w:num w:numId="23">
    <w:abstractNumId w:val="8"/>
  </w:num>
  <w:num w:numId="24">
    <w:abstractNumId w:val="22"/>
  </w:num>
  <w:num w:numId="25">
    <w:abstractNumId w:val="16"/>
  </w:num>
  <w:num w:numId="26">
    <w:abstractNumId w:val="15"/>
  </w:num>
  <w:num w:numId="27">
    <w:abstractNumId w:val="13"/>
  </w:num>
  <w:num w:numId="28">
    <w:abstractNumId w:val="0"/>
  </w:num>
  <w:num w:numId="29">
    <w:abstractNumId w:val="26"/>
  </w:num>
  <w:num w:numId="30">
    <w:abstractNumId w:val="1"/>
  </w:num>
  <w:num w:numId="31">
    <w:abstractNumId w:val="17"/>
  </w:num>
  <w:num w:numId="32">
    <w:abstractNumId w:val="32"/>
  </w:num>
  <w:num w:numId="33">
    <w:abstractNumId w:val="3"/>
  </w:num>
  <w:num w:numId="34">
    <w:abstractNumId w:val="12"/>
  </w:num>
  <w:num w:numId="35">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drawingGridHorizontalSpacing w:val="110"/>
  <w:drawingGridVerticalSpacing w:val="299"/>
  <w:displayHorizontalDrawingGridEvery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7AE"/>
    <w:rsid w:val="000002F6"/>
    <w:rsid w:val="00000B92"/>
    <w:rsid w:val="00002195"/>
    <w:rsid w:val="0000275B"/>
    <w:rsid w:val="00002FE8"/>
    <w:rsid w:val="00004123"/>
    <w:rsid w:val="000046A9"/>
    <w:rsid w:val="00005129"/>
    <w:rsid w:val="000071C4"/>
    <w:rsid w:val="00007966"/>
    <w:rsid w:val="00010073"/>
    <w:rsid w:val="000112C0"/>
    <w:rsid w:val="0001226C"/>
    <w:rsid w:val="000125D9"/>
    <w:rsid w:val="0001450C"/>
    <w:rsid w:val="00014A5B"/>
    <w:rsid w:val="000151E2"/>
    <w:rsid w:val="00015459"/>
    <w:rsid w:val="000157BB"/>
    <w:rsid w:val="000161F0"/>
    <w:rsid w:val="00016B83"/>
    <w:rsid w:val="00016E93"/>
    <w:rsid w:val="00017C0A"/>
    <w:rsid w:val="00020B58"/>
    <w:rsid w:val="00021229"/>
    <w:rsid w:val="000214B7"/>
    <w:rsid w:val="00022BF2"/>
    <w:rsid w:val="00023961"/>
    <w:rsid w:val="00024464"/>
    <w:rsid w:val="00025592"/>
    <w:rsid w:val="0002579E"/>
    <w:rsid w:val="000260DE"/>
    <w:rsid w:val="00026418"/>
    <w:rsid w:val="000275D9"/>
    <w:rsid w:val="00027E7C"/>
    <w:rsid w:val="00030416"/>
    <w:rsid w:val="00031515"/>
    <w:rsid w:val="0003182C"/>
    <w:rsid w:val="000321BB"/>
    <w:rsid w:val="00032430"/>
    <w:rsid w:val="00032B48"/>
    <w:rsid w:val="00032BC6"/>
    <w:rsid w:val="0003335A"/>
    <w:rsid w:val="0003690B"/>
    <w:rsid w:val="00036BE5"/>
    <w:rsid w:val="00036FD4"/>
    <w:rsid w:val="0003707A"/>
    <w:rsid w:val="000375C7"/>
    <w:rsid w:val="00041B65"/>
    <w:rsid w:val="00041DC6"/>
    <w:rsid w:val="000426E5"/>
    <w:rsid w:val="00042AEA"/>
    <w:rsid w:val="00044871"/>
    <w:rsid w:val="000456CF"/>
    <w:rsid w:val="00045AB0"/>
    <w:rsid w:val="00050139"/>
    <w:rsid w:val="00050995"/>
    <w:rsid w:val="00050A12"/>
    <w:rsid w:val="00050ED3"/>
    <w:rsid w:val="000510C3"/>
    <w:rsid w:val="000511D3"/>
    <w:rsid w:val="00051FEE"/>
    <w:rsid w:val="000520CB"/>
    <w:rsid w:val="000526A3"/>
    <w:rsid w:val="00052C7E"/>
    <w:rsid w:val="00053259"/>
    <w:rsid w:val="00053CCB"/>
    <w:rsid w:val="000544FE"/>
    <w:rsid w:val="0005464C"/>
    <w:rsid w:val="0005492F"/>
    <w:rsid w:val="000567D8"/>
    <w:rsid w:val="00056C49"/>
    <w:rsid w:val="000575BF"/>
    <w:rsid w:val="00057EC4"/>
    <w:rsid w:val="000609CC"/>
    <w:rsid w:val="00062377"/>
    <w:rsid w:val="00064A42"/>
    <w:rsid w:val="00065450"/>
    <w:rsid w:val="00066F6C"/>
    <w:rsid w:val="0006730B"/>
    <w:rsid w:val="0006796A"/>
    <w:rsid w:val="00067BA0"/>
    <w:rsid w:val="000701C1"/>
    <w:rsid w:val="0007072F"/>
    <w:rsid w:val="000709E9"/>
    <w:rsid w:val="00072184"/>
    <w:rsid w:val="00072533"/>
    <w:rsid w:val="000736B1"/>
    <w:rsid w:val="00075B70"/>
    <w:rsid w:val="000772A4"/>
    <w:rsid w:val="00077612"/>
    <w:rsid w:val="00080CA7"/>
    <w:rsid w:val="00081C13"/>
    <w:rsid w:val="00081DB6"/>
    <w:rsid w:val="00082004"/>
    <w:rsid w:val="00082FB1"/>
    <w:rsid w:val="00083204"/>
    <w:rsid w:val="00084FCD"/>
    <w:rsid w:val="000852E8"/>
    <w:rsid w:val="00085808"/>
    <w:rsid w:val="00085E98"/>
    <w:rsid w:val="00086B4A"/>
    <w:rsid w:val="00086BCE"/>
    <w:rsid w:val="00091423"/>
    <w:rsid w:val="00091A4A"/>
    <w:rsid w:val="00092176"/>
    <w:rsid w:val="00092CEA"/>
    <w:rsid w:val="000934A2"/>
    <w:rsid w:val="00093EBC"/>
    <w:rsid w:val="00094531"/>
    <w:rsid w:val="0009458A"/>
    <w:rsid w:val="00096104"/>
    <w:rsid w:val="0009726A"/>
    <w:rsid w:val="00097A80"/>
    <w:rsid w:val="00097B16"/>
    <w:rsid w:val="00097FA4"/>
    <w:rsid w:val="000A0264"/>
    <w:rsid w:val="000A09E7"/>
    <w:rsid w:val="000A0B29"/>
    <w:rsid w:val="000A0EC8"/>
    <w:rsid w:val="000A141F"/>
    <w:rsid w:val="000A1913"/>
    <w:rsid w:val="000A1C95"/>
    <w:rsid w:val="000A2913"/>
    <w:rsid w:val="000A2EFD"/>
    <w:rsid w:val="000A3FBF"/>
    <w:rsid w:val="000A3FF0"/>
    <w:rsid w:val="000A4566"/>
    <w:rsid w:val="000A5DF0"/>
    <w:rsid w:val="000A6129"/>
    <w:rsid w:val="000A6888"/>
    <w:rsid w:val="000A6BE3"/>
    <w:rsid w:val="000A7E65"/>
    <w:rsid w:val="000B0861"/>
    <w:rsid w:val="000B10A6"/>
    <w:rsid w:val="000B162A"/>
    <w:rsid w:val="000B2233"/>
    <w:rsid w:val="000B227B"/>
    <w:rsid w:val="000B23FD"/>
    <w:rsid w:val="000B2AAA"/>
    <w:rsid w:val="000B43A4"/>
    <w:rsid w:val="000B51B1"/>
    <w:rsid w:val="000B53B4"/>
    <w:rsid w:val="000B5B61"/>
    <w:rsid w:val="000C0924"/>
    <w:rsid w:val="000C0F09"/>
    <w:rsid w:val="000C1291"/>
    <w:rsid w:val="000C2134"/>
    <w:rsid w:val="000C34A6"/>
    <w:rsid w:val="000C4A8D"/>
    <w:rsid w:val="000C558F"/>
    <w:rsid w:val="000C64FA"/>
    <w:rsid w:val="000C6DF7"/>
    <w:rsid w:val="000D0C05"/>
    <w:rsid w:val="000D0E58"/>
    <w:rsid w:val="000D1E91"/>
    <w:rsid w:val="000D2604"/>
    <w:rsid w:val="000D3B06"/>
    <w:rsid w:val="000D4163"/>
    <w:rsid w:val="000D435E"/>
    <w:rsid w:val="000D47D0"/>
    <w:rsid w:val="000D488C"/>
    <w:rsid w:val="000D4E35"/>
    <w:rsid w:val="000D5642"/>
    <w:rsid w:val="000D59E3"/>
    <w:rsid w:val="000D6A84"/>
    <w:rsid w:val="000D6C43"/>
    <w:rsid w:val="000D7914"/>
    <w:rsid w:val="000D7AA5"/>
    <w:rsid w:val="000D7D6D"/>
    <w:rsid w:val="000D7FE7"/>
    <w:rsid w:val="000D7FF4"/>
    <w:rsid w:val="000E002E"/>
    <w:rsid w:val="000E0DF7"/>
    <w:rsid w:val="000E0E07"/>
    <w:rsid w:val="000E1C29"/>
    <w:rsid w:val="000E1E3F"/>
    <w:rsid w:val="000E372E"/>
    <w:rsid w:val="000E3B9D"/>
    <w:rsid w:val="000E486F"/>
    <w:rsid w:val="000E65F0"/>
    <w:rsid w:val="000E69EC"/>
    <w:rsid w:val="000F0454"/>
    <w:rsid w:val="000F1412"/>
    <w:rsid w:val="000F174F"/>
    <w:rsid w:val="000F1F0A"/>
    <w:rsid w:val="000F1F83"/>
    <w:rsid w:val="000F2687"/>
    <w:rsid w:val="000F4B49"/>
    <w:rsid w:val="000F5728"/>
    <w:rsid w:val="000F5B04"/>
    <w:rsid w:val="000F5F41"/>
    <w:rsid w:val="000F7F18"/>
    <w:rsid w:val="00100257"/>
    <w:rsid w:val="00101139"/>
    <w:rsid w:val="00102453"/>
    <w:rsid w:val="00102A3F"/>
    <w:rsid w:val="0010317B"/>
    <w:rsid w:val="00103376"/>
    <w:rsid w:val="0010436F"/>
    <w:rsid w:val="00104AE2"/>
    <w:rsid w:val="00104D9C"/>
    <w:rsid w:val="00105AB4"/>
    <w:rsid w:val="001105EE"/>
    <w:rsid w:val="00110ABF"/>
    <w:rsid w:val="001117F7"/>
    <w:rsid w:val="00111818"/>
    <w:rsid w:val="00111B0F"/>
    <w:rsid w:val="00111ED5"/>
    <w:rsid w:val="00112372"/>
    <w:rsid w:val="00112913"/>
    <w:rsid w:val="0011402A"/>
    <w:rsid w:val="0011440D"/>
    <w:rsid w:val="00114718"/>
    <w:rsid w:val="00115220"/>
    <w:rsid w:val="00116A42"/>
    <w:rsid w:val="00116C81"/>
    <w:rsid w:val="00117003"/>
    <w:rsid w:val="0012053D"/>
    <w:rsid w:val="00120562"/>
    <w:rsid w:val="00120852"/>
    <w:rsid w:val="001209FA"/>
    <w:rsid w:val="001212FA"/>
    <w:rsid w:val="00121468"/>
    <w:rsid w:val="00123524"/>
    <w:rsid w:val="00125941"/>
    <w:rsid w:val="00125C24"/>
    <w:rsid w:val="00125F93"/>
    <w:rsid w:val="00126491"/>
    <w:rsid w:val="00126B4D"/>
    <w:rsid w:val="00127A17"/>
    <w:rsid w:val="00127AC0"/>
    <w:rsid w:val="00130560"/>
    <w:rsid w:val="0013134E"/>
    <w:rsid w:val="00131496"/>
    <w:rsid w:val="001314CA"/>
    <w:rsid w:val="00131A88"/>
    <w:rsid w:val="001326C3"/>
    <w:rsid w:val="00132987"/>
    <w:rsid w:val="00133034"/>
    <w:rsid w:val="00133A3B"/>
    <w:rsid w:val="00133D24"/>
    <w:rsid w:val="00133E42"/>
    <w:rsid w:val="00134638"/>
    <w:rsid w:val="00135865"/>
    <w:rsid w:val="00136A1C"/>
    <w:rsid w:val="00136C13"/>
    <w:rsid w:val="0013722C"/>
    <w:rsid w:val="00137E8A"/>
    <w:rsid w:val="00140838"/>
    <w:rsid w:val="00141445"/>
    <w:rsid w:val="00142EDD"/>
    <w:rsid w:val="00142F31"/>
    <w:rsid w:val="001431EA"/>
    <w:rsid w:val="00143800"/>
    <w:rsid w:val="001449FA"/>
    <w:rsid w:val="00145DDC"/>
    <w:rsid w:val="00147375"/>
    <w:rsid w:val="00147683"/>
    <w:rsid w:val="00147701"/>
    <w:rsid w:val="001477EF"/>
    <w:rsid w:val="00150029"/>
    <w:rsid w:val="0015079A"/>
    <w:rsid w:val="001508A6"/>
    <w:rsid w:val="00150BDA"/>
    <w:rsid w:val="00150E62"/>
    <w:rsid w:val="001513C5"/>
    <w:rsid w:val="0015225F"/>
    <w:rsid w:val="001526AC"/>
    <w:rsid w:val="00152981"/>
    <w:rsid w:val="00152E85"/>
    <w:rsid w:val="00154ED2"/>
    <w:rsid w:val="00154F82"/>
    <w:rsid w:val="0015508E"/>
    <w:rsid w:val="00155D2E"/>
    <w:rsid w:val="0015734E"/>
    <w:rsid w:val="001610D8"/>
    <w:rsid w:val="001617B9"/>
    <w:rsid w:val="00161C85"/>
    <w:rsid w:val="001623BE"/>
    <w:rsid w:val="001624A8"/>
    <w:rsid w:val="00162873"/>
    <w:rsid w:val="0016324C"/>
    <w:rsid w:val="001635CF"/>
    <w:rsid w:val="001639DF"/>
    <w:rsid w:val="00163F91"/>
    <w:rsid w:val="001645E3"/>
    <w:rsid w:val="00164854"/>
    <w:rsid w:val="001653F4"/>
    <w:rsid w:val="00165458"/>
    <w:rsid w:val="001661A9"/>
    <w:rsid w:val="001663CC"/>
    <w:rsid w:val="001666CB"/>
    <w:rsid w:val="0016679E"/>
    <w:rsid w:val="001679EA"/>
    <w:rsid w:val="00170076"/>
    <w:rsid w:val="00170C57"/>
    <w:rsid w:val="00170FB7"/>
    <w:rsid w:val="00171520"/>
    <w:rsid w:val="00171BCB"/>
    <w:rsid w:val="00172425"/>
    <w:rsid w:val="00172459"/>
    <w:rsid w:val="0017289F"/>
    <w:rsid w:val="00172E1E"/>
    <w:rsid w:val="00173100"/>
    <w:rsid w:val="001735D2"/>
    <w:rsid w:val="00173F87"/>
    <w:rsid w:val="00174B23"/>
    <w:rsid w:val="00175450"/>
    <w:rsid w:val="001757C8"/>
    <w:rsid w:val="0017590E"/>
    <w:rsid w:val="00175996"/>
    <w:rsid w:val="001769AA"/>
    <w:rsid w:val="00176F38"/>
    <w:rsid w:val="001774FF"/>
    <w:rsid w:val="0018024B"/>
    <w:rsid w:val="00181329"/>
    <w:rsid w:val="0018150B"/>
    <w:rsid w:val="0018297F"/>
    <w:rsid w:val="001830A0"/>
    <w:rsid w:val="0018324A"/>
    <w:rsid w:val="001849AE"/>
    <w:rsid w:val="00185072"/>
    <w:rsid w:val="00186653"/>
    <w:rsid w:val="0018726D"/>
    <w:rsid w:val="001901E3"/>
    <w:rsid w:val="00190493"/>
    <w:rsid w:val="00191CF4"/>
    <w:rsid w:val="001926ED"/>
    <w:rsid w:val="00193B2E"/>
    <w:rsid w:val="00194801"/>
    <w:rsid w:val="00194C90"/>
    <w:rsid w:val="00195233"/>
    <w:rsid w:val="00195F3A"/>
    <w:rsid w:val="00196A90"/>
    <w:rsid w:val="001A0009"/>
    <w:rsid w:val="001A0287"/>
    <w:rsid w:val="001A4152"/>
    <w:rsid w:val="001A4200"/>
    <w:rsid w:val="001A429F"/>
    <w:rsid w:val="001A44B9"/>
    <w:rsid w:val="001A4E3E"/>
    <w:rsid w:val="001A51B3"/>
    <w:rsid w:val="001A52AD"/>
    <w:rsid w:val="001A6AB8"/>
    <w:rsid w:val="001A6DBE"/>
    <w:rsid w:val="001A7168"/>
    <w:rsid w:val="001A741D"/>
    <w:rsid w:val="001B00F5"/>
    <w:rsid w:val="001B04EA"/>
    <w:rsid w:val="001B1D5A"/>
    <w:rsid w:val="001B2AA2"/>
    <w:rsid w:val="001B2EA8"/>
    <w:rsid w:val="001B32CE"/>
    <w:rsid w:val="001B36A2"/>
    <w:rsid w:val="001B3D9D"/>
    <w:rsid w:val="001B468C"/>
    <w:rsid w:val="001B4960"/>
    <w:rsid w:val="001B52ED"/>
    <w:rsid w:val="001B5FED"/>
    <w:rsid w:val="001B62FB"/>
    <w:rsid w:val="001B6B82"/>
    <w:rsid w:val="001B7D95"/>
    <w:rsid w:val="001C058E"/>
    <w:rsid w:val="001C08D7"/>
    <w:rsid w:val="001C1A75"/>
    <w:rsid w:val="001C2493"/>
    <w:rsid w:val="001C2D0E"/>
    <w:rsid w:val="001C4387"/>
    <w:rsid w:val="001C43B6"/>
    <w:rsid w:val="001C62E5"/>
    <w:rsid w:val="001C6F07"/>
    <w:rsid w:val="001C70A2"/>
    <w:rsid w:val="001C712A"/>
    <w:rsid w:val="001C7250"/>
    <w:rsid w:val="001C7597"/>
    <w:rsid w:val="001C7AE8"/>
    <w:rsid w:val="001C7D5D"/>
    <w:rsid w:val="001C7FC0"/>
    <w:rsid w:val="001D08C7"/>
    <w:rsid w:val="001D0C82"/>
    <w:rsid w:val="001D0DFE"/>
    <w:rsid w:val="001D245C"/>
    <w:rsid w:val="001D3795"/>
    <w:rsid w:val="001D3DCB"/>
    <w:rsid w:val="001D3E8A"/>
    <w:rsid w:val="001D41F8"/>
    <w:rsid w:val="001D4699"/>
    <w:rsid w:val="001D5179"/>
    <w:rsid w:val="001D5393"/>
    <w:rsid w:val="001D5B83"/>
    <w:rsid w:val="001D643E"/>
    <w:rsid w:val="001D730C"/>
    <w:rsid w:val="001E1AEE"/>
    <w:rsid w:val="001E20E3"/>
    <w:rsid w:val="001E2C55"/>
    <w:rsid w:val="001E33E8"/>
    <w:rsid w:val="001E3789"/>
    <w:rsid w:val="001E48AE"/>
    <w:rsid w:val="001E4AA2"/>
    <w:rsid w:val="001E4AE7"/>
    <w:rsid w:val="001E4B85"/>
    <w:rsid w:val="001E5CA9"/>
    <w:rsid w:val="001E6B98"/>
    <w:rsid w:val="001E701F"/>
    <w:rsid w:val="001E7287"/>
    <w:rsid w:val="001E78D3"/>
    <w:rsid w:val="001E79C7"/>
    <w:rsid w:val="001E7D36"/>
    <w:rsid w:val="001E7EB1"/>
    <w:rsid w:val="001E7EFA"/>
    <w:rsid w:val="001F0AA4"/>
    <w:rsid w:val="001F1C8C"/>
    <w:rsid w:val="001F2C07"/>
    <w:rsid w:val="001F3EE4"/>
    <w:rsid w:val="001F45E8"/>
    <w:rsid w:val="001F4777"/>
    <w:rsid w:val="001F53C3"/>
    <w:rsid w:val="001F55D1"/>
    <w:rsid w:val="001F6843"/>
    <w:rsid w:val="001F6861"/>
    <w:rsid w:val="001F76C3"/>
    <w:rsid w:val="001F76C7"/>
    <w:rsid w:val="001F7F57"/>
    <w:rsid w:val="0020013E"/>
    <w:rsid w:val="00200148"/>
    <w:rsid w:val="002002CF"/>
    <w:rsid w:val="002011C2"/>
    <w:rsid w:val="0020165D"/>
    <w:rsid w:val="00203690"/>
    <w:rsid w:val="00203B8F"/>
    <w:rsid w:val="00205666"/>
    <w:rsid w:val="00205B21"/>
    <w:rsid w:val="00205FD8"/>
    <w:rsid w:val="00207FFB"/>
    <w:rsid w:val="00211237"/>
    <w:rsid w:val="00211278"/>
    <w:rsid w:val="002117D8"/>
    <w:rsid w:val="00213A43"/>
    <w:rsid w:val="0021656F"/>
    <w:rsid w:val="00216636"/>
    <w:rsid w:val="00216AF0"/>
    <w:rsid w:val="00217763"/>
    <w:rsid w:val="00217A7E"/>
    <w:rsid w:val="00220665"/>
    <w:rsid w:val="0022079D"/>
    <w:rsid w:val="002207D7"/>
    <w:rsid w:val="002223DC"/>
    <w:rsid w:val="00223A2C"/>
    <w:rsid w:val="00224531"/>
    <w:rsid w:val="00224844"/>
    <w:rsid w:val="00225646"/>
    <w:rsid w:val="00225B1E"/>
    <w:rsid w:val="00227F7B"/>
    <w:rsid w:val="00230974"/>
    <w:rsid w:val="0023121D"/>
    <w:rsid w:val="00231627"/>
    <w:rsid w:val="002317BB"/>
    <w:rsid w:val="0023182B"/>
    <w:rsid w:val="0023242C"/>
    <w:rsid w:val="002335D4"/>
    <w:rsid w:val="002340C8"/>
    <w:rsid w:val="0023477A"/>
    <w:rsid w:val="00234C43"/>
    <w:rsid w:val="00234C91"/>
    <w:rsid w:val="002353C2"/>
    <w:rsid w:val="0023582D"/>
    <w:rsid w:val="00235C75"/>
    <w:rsid w:val="00236EC4"/>
    <w:rsid w:val="00237230"/>
    <w:rsid w:val="00237F6F"/>
    <w:rsid w:val="002400CD"/>
    <w:rsid w:val="00240417"/>
    <w:rsid w:val="00240EFA"/>
    <w:rsid w:val="00241A99"/>
    <w:rsid w:val="00244CE9"/>
    <w:rsid w:val="00245B77"/>
    <w:rsid w:val="00246728"/>
    <w:rsid w:val="00247983"/>
    <w:rsid w:val="00247C96"/>
    <w:rsid w:val="00247CB9"/>
    <w:rsid w:val="002504DD"/>
    <w:rsid w:val="00250630"/>
    <w:rsid w:val="0025134D"/>
    <w:rsid w:val="0025283C"/>
    <w:rsid w:val="00252E13"/>
    <w:rsid w:val="00253A22"/>
    <w:rsid w:val="00253A2C"/>
    <w:rsid w:val="00253B13"/>
    <w:rsid w:val="00253EF0"/>
    <w:rsid w:val="0025443B"/>
    <w:rsid w:val="00254599"/>
    <w:rsid w:val="00255529"/>
    <w:rsid w:val="00256819"/>
    <w:rsid w:val="00256FBC"/>
    <w:rsid w:val="00257CC7"/>
    <w:rsid w:val="00257DF4"/>
    <w:rsid w:val="00260141"/>
    <w:rsid w:val="00262380"/>
    <w:rsid w:val="00262AB4"/>
    <w:rsid w:val="00262FB0"/>
    <w:rsid w:val="002632B0"/>
    <w:rsid w:val="00263973"/>
    <w:rsid w:val="00264C02"/>
    <w:rsid w:val="00264DF4"/>
    <w:rsid w:val="002655B5"/>
    <w:rsid w:val="00267835"/>
    <w:rsid w:val="002678DE"/>
    <w:rsid w:val="00267AD6"/>
    <w:rsid w:val="00267DFF"/>
    <w:rsid w:val="00272058"/>
    <w:rsid w:val="002722D2"/>
    <w:rsid w:val="002724AA"/>
    <w:rsid w:val="00273305"/>
    <w:rsid w:val="00275A7D"/>
    <w:rsid w:val="0027688E"/>
    <w:rsid w:val="00276FFD"/>
    <w:rsid w:val="00277400"/>
    <w:rsid w:val="002802B8"/>
    <w:rsid w:val="0028032E"/>
    <w:rsid w:val="00280388"/>
    <w:rsid w:val="00281C5F"/>
    <w:rsid w:val="00282481"/>
    <w:rsid w:val="00282CEA"/>
    <w:rsid w:val="002836AE"/>
    <w:rsid w:val="00283AF4"/>
    <w:rsid w:val="00284FE3"/>
    <w:rsid w:val="002854A5"/>
    <w:rsid w:val="0028586B"/>
    <w:rsid w:val="0028591E"/>
    <w:rsid w:val="00285C08"/>
    <w:rsid w:val="00285EB9"/>
    <w:rsid w:val="00286282"/>
    <w:rsid w:val="00290D31"/>
    <w:rsid w:val="00291FB0"/>
    <w:rsid w:val="0029214C"/>
    <w:rsid w:val="00292BF0"/>
    <w:rsid w:val="0029346D"/>
    <w:rsid w:val="002934B0"/>
    <w:rsid w:val="002936F4"/>
    <w:rsid w:val="00293F81"/>
    <w:rsid w:val="00294722"/>
    <w:rsid w:val="0029504B"/>
    <w:rsid w:val="0029522A"/>
    <w:rsid w:val="002952C6"/>
    <w:rsid w:val="002954A0"/>
    <w:rsid w:val="00295588"/>
    <w:rsid w:val="00295669"/>
    <w:rsid w:val="002956EF"/>
    <w:rsid w:val="002964BA"/>
    <w:rsid w:val="002964E1"/>
    <w:rsid w:val="00296776"/>
    <w:rsid w:val="0029739F"/>
    <w:rsid w:val="00297800"/>
    <w:rsid w:val="002A0619"/>
    <w:rsid w:val="002A0C59"/>
    <w:rsid w:val="002A0F3A"/>
    <w:rsid w:val="002A3031"/>
    <w:rsid w:val="002A3B88"/>
    <w:rsid w:val="002A46C9"/>
    <w:rsid w:val="002A4EA0"/>
    <w:rsid w:val="002A6D1A"/>
    <w:rsid w:val="002B1082"/>
    <w:rsid w:val="002B11C4"/>
    <w:rsid w:val="002B1697"/>
    <w:rsid w:val="002B177A"/>
    <w:rsid w:val="002B2773"/>
    <w:rsid w:val="002B4E8C"/>
    <w:rsid w:val="002B53F3"/>
    <w:rsid w:val="002B5971"/>
    <w:rsid w:val="002B6835"/>
    <w:rsid w:val="002B6A4A"/>
    <w:rsid w:val="002B7122"/>
    <w:rsid w:val="002B76C7"/>
    <w:rsid w:val="002C00ED"/>
    <w:rsid w:val="002C0D44"/>
    <w:rsid w:val="002C2441"/>
    <w:rsid w:val="002C290C"/>
    <w:rsid w:val="002C309B"/>
    <w:rsid w:val="002C34AB"/>
    <w:rsid w:val="002C371C"/>
    <w:rsid w:val="002C3C23"/>
    <w:rsid w:val="002C3EC7"/>
    <w:rsid w:val="002C3F7D"/>
    <w:rsid w:val="002C4EAF"/>
    <w:rsid w:val="002C4F86"/>
    <w:rsid w:val="002C5493"/>
    <w:rsid w:val="002D00D7"/>
    <w:rsid w:val="002D0556"/>
    <w:rsid w:val="002D1A7A"/>
    <w:rsid w:val="002D1DBA"/>
    <w:rsid w:val="002D2F34"/>
    <w:rsid w:val="002D3036"/>
    <w:rsid w:val="002D4356"/>
    <w:rsid w:val="002D45B2"/>
    <w:rsid w:val="002D6E89"/>
    <w:rsid w:val="002D750D"/>
    <w:rsid w:val="002D7602"/>
    <w:rsid w:val="002D7A77"/>
    <w:rsid w:val="002D7C9D"/>
    <w:rsid w:val="002D7EAB"/>
    <w:rsid w:val="002E0A5E"/>
    <w:rsid w:val="002E0DA5"/>
    <w:rsid w:val="002E0ED5"/>
    <w:rsid w:val="002E1AEC"/>
    <w:rsid w:val="002E4641"/>
    <w:rsid w:val="002E4B79"/>
    <w:rsid w:val="002E4CE4"/>
    <w:rsid w:val="002E4EE7"/>
    <w:rsid w:val="002E5246"/>
    <w:rsid w:val="002E6046"/>
    <w:rsid w:val="002E6320"/>
    <w:rsid w:val="002E6AE5"/>
    <w:rsid w:val="002E6DD6"/>
    <w:rsid w:val="002E6F9B"/>
    <w:rsid w:val="002E7021"/>
    <w:rsid w:val="002E718F"/>
    <w:rsid w:val="002E7A70"/>
    <w:rsid w:val="002E7F06"/>
    <w:rsid w:val="002F0168"/>
    <w:rsid w:val="002F1ED5"/>
    <w:rsid w:val="002F2B71"/>
    <w:rsid w:val="002F32D7"/>
    <w:rsid w:val="002F535A"/>
    <w:rsid w:val="002F5A27"/>
    <w:rsid w:val="002F6E76"/>
    <w:rsid w:val="002F6FF2"/>
    <w:rsid w:val="002F73A4"/>
    <w:rsid w:val="002F7414"/>
    <w:rsid w:val="002F7D7A"/>
    <w:rsid w:val="00300061"/>
    <w:rsid w:val="00300D3F"/>
    <w:rsid w:val="0030114F"/>
    <w:rsid w:val="00301474"/>
    <w:rsid w:val="00301C9E"/>
    <w:rsid w:val="00302563"/>
    <w:rsid w:val="00303B39"/>
    <w:rsid w:val="003040C2"/>
    <w:rsid w:val="00304279"/>
    <w:rsid w:val="003044FB"/>
    <w:rsid w:val="00304B0D"/>
    <w:rsid w:val="00304C3B"/>
    <w:rsid w:val="00305058"/>
    <w:rsid w:val="003050C9"/>
    <w:rsid w:val="00305771"/>
    <w:rsid w:val="0030624C"/>
    <w:rsid w:val="0030680F"/>
    <w:rsid w:val="00307DF1"/>
    <w:rsid w:val="00310A6C"/>
    <w:rsid w:val="00310B1E"/>
    <w:rsid w:val="00310DA5"/>
    <w:rsid w:val="003115D7"/>
    <w:rsid w:val="00311960"/>
    <w:rsid w:val="00311FE9"/>
    <w:rsid w:val="003122A3"/>
    <w:rsid w:val="003122AF"/>
    <w:rsid w:val="00313CAC"/>
    <w:rsid w:val="00313DF1"/>
    <w:rsid w:val="003143C4"/>
    <w:rsid w:val="00314623"/>
    <w:rsid w:val="00314FB0"/>
    <w:rsid w:val="003159BB"/>
    <w:rsid w:val="0031681E"/>
    <w:rsid w:val="0031739C"/>
    <w:rsid w:val="00320083"/>
    <w:rsid w:val="003201FF"/>
    <w:rsid w:val="00321DF6"/>
    <w:rsid w:val="00322D8A"/>
    <w:rsid w:val="00323394"/>
    <w:rsid w:val="00323B37"/>
    <w:rsid w:val="003245FA"/>
    <w:rsid w:val="00324DC9"/>
    <w:rsid w:val="00324EE8"/>
    <w:rsid w:val="0032626B"/>
    <w:rsid w:val="003274F5"/>
    <w:rsid w:val="00330AA0"/>
    <w:rsid w:val="00332EDF"/>
    <w:rsid w:val="003338C7"/>
    <w:rsid w:val="003338F1"/>
    <w:rsid w:val="00333D13"/>
    <w:rsid w:val="00334383"/>
    <w:rsid w:val="003347EF"/>
    <w:rsid w:val="00334BF9"/>
    <w:rsid w:val="003355BC"/>
    <w:rsid w:val="00335765"/>
    <w:rsid w:val="0033694C"/>
    <w:rsid w:val="0033729F"/>
    <w:rsid w:val="003379D2"/>
    <w:rsid w:val="003379F7"/>
    <w:rsid w:val="0034216D"/>
    <w:rsid w:val="00342685"/>
    <w:rsid w:val="00342C7E"/>
    <w:rsid w:val="00345522"/>
    <w:rsid w:val="00345B4A"/>
    <w:rsid w:val="0034684A"/>
    <w:rsid w:val="00347585"/>
    <w:rsid w:val="00347B17"/>
    <w:rsid w:val="00350A4A"/>
    <w:rsid w:val="00351AEF"/>
    <w:rsid w:val="00352EA9"/>
    <w:rsid w:val="0035409A"/>
    <w:rsid w:val="003540A9"/>
    <w:rsid w:val="00354781"/>
    <w:rsid w:val="0035486B"/>
    <w:rsid w:val="0035492C"/>
    <w:rsid w:val="0035543B"/>
    <w:rsid w:val="00357170"/>
    <w:rsid w:val="00361E69"/>
    <w:rsid w:val="00363074"/>
    <w:rsid w:val="003639B1"/>
    <w:rsid w:val="00363C49"/>
    <w:rsid w:val="00363D0A"/>
    <w:rsid w:val="00364104"/>
    <w:rsid w:val="00365BC3"/>
    <w:rsid w:val="00367019"/>
    <w:rsid w:val="00370316"/>
    <w:rsid w:val="00370CF1"/>
    <w:rsid w:val="00372298"/>
    <w:rsid w:val="00372379"/>
    <w:rsid w:val="00372437"/>
    <w:rsid w:val="00372D0E"/>
    <w:rsid w:val="0037364B"/>
    <w:rsid w:val="003746D8"/>
    <w:rsid w:val="00375A78"/>
    <w:rsid w:val="00375DA9"/>
    <w:rsid w:val="003761A5"/>
    <w:rsid w:val="00376D82"/>
    <w:rsid w:val="00376E27"/>
    <w:rsid w:val="00377A3B"/>
    <w:rsid w:val="00377C67"/>
    <w:rsid w:val="00377E66"/>
    <w:rsid w:val="00380ED2"/>
    <w:rsid w:val="00381CA7"/>
    <w:rsid w:val="003829A7"/>
    <w:rsid w:val="00382DD2"/>
    <w:rsid w:val="00383D19"/>
    <w:rsid w:val="00384692"/>
    <w:rsid w:val="0038526D"/>
    <w:rsid w:val="003852C8"/>
    <w:rsid w:val="00385D41"/>
    <w:rsid w:val="003863A4"/>
    <w:rsid w:val="003873D5"/>
    <w:rsid w:val="00387C86"/>
    <w:rsid w:val="00390ADC"/>
    <w:rsid w:val="00390C11"/>
    <w:rsid w:val="00390F75"/>
    <w:rsid w:val="00390FAD"/>
    <w:rsid w:val="00391A89"/>
    <w:rsid w:val="00391DCC"/>
    <w:rsid w:val="00393639"/>
    <w:rsid w:val="003937A0"/>
    <w:rsid w:val="00393970"/>
    <w:rsid w:val="00393987"/>
    <w:rsid w:val="003946EA"/>
    <w:rsid w:val="003947E9"/>
    <w:rsid w:val="00394933"/>
    <w:rsid w:val="0039496A"/>
    <w:rsid w:val="00394AFC"/>
    <w:rsid w:val="00394CA2"/>
    <w:rsid w:val="00395639"/>
    <w:rsid w:val="00396EA9"/>
    <w:rsid w:val="0039785E"/>
    <w:rsid w:val="003A16B5"/>
    <w:rsid w:val="003A1D90"/>
    <w:rsid w:val="003A25A9"/>
    <w:rsid w:val="003A2EF5"/>
    <w:rsid w:val="003A31D8"/>
    <w:rsid w:val="003A3932"/>
    <w:rsid w:val="003A4762"/>
    <w:rsid w:val="003A6958"/>
    <w:rsid w:val="003A7662"/>
    <w:rsid w:val="003A7B38"/>
    <w:rsid w:val="003B0743"/>
    <w:rsid w:val="003B0C5B"/>
    <w:rsid w:val="003B0CAA"/>
    <w:rsid w:val="003B1F5B"/>
    <w:rsid w:val="003B269B"/>
    <w:rsid w:val="003B3277"/>
    <w:rsid w:val="003B3BC1"/>
    <w:rsid w:val="003B53CF"/>
    <w:rsid w:val="003B5797"/>
    <w:rsid w:val="003B5C7F"/>
    <w:rsid w:val="003B5DB2"/>
    <w:rsid w:val="003B5ED2"/>
    <w:rsid w:val="003B6378"/>
    <w:rsid w:val="003B73F6"/>
    <w:rsid w:val="003C1945"/>
    <w:rsid w:val="003C1A21"/>
    <w:rsid w:val="003C2350"/>
    <w:rsid w:val="003C26A3"/>
    <w:rsid w:val="003C28BF"/>
    <w:rsid w:val="003C2B1A"/>
    <w:rsid w:val="003C2F02"/>
    <w:rsid w:val="003C309F"/>
    <w:rsid w:val="003C3BA9"/>
    <w:rsid w:val="003C47F3"/>
    <w:rsid w:val="003C4A38"/>
    <w:rsid w:val="003C5B6F"/>
    <w:rsid w:val="003C5CF0"/>
    <w:rsid w:val="003C5DF4"/>
    <w:rsid w:val="003C7292"/>
    <w:rsid w:val="003C7A58"/>
    <w:rsid w:val="003D1740"/>
    <w:rsid w:val="003D189C"/>
    <w:rsid w:val="003D2396"/>
    <w:rsid w:val="003D2A3D"/>
    <w:rsid w:val="003D30CC"/>
    <w:rsid w:val="003D32A3"/>
    <w:rsid w:val="003D3779"/>
    <w:rsid w:val="003D37A2"/>
    <w:rsid w:val="003D394E"/>
    <w:rsid w:val="003D40B3"/>
    <w:rsid w:val="003D44F2"/>
    <w:rsid w:val="003D484F"/>
    <w:rsid w:val="003D500C"/>
    <w:rsid w:val="003D5823"/>
    <w:rsid w:val="003D6661"/>
    <w:rsid w:val="003D6B15"/>
    <w:rsid w:val="003E01B7"/>
    <w:rsid w:val="003E1DF0"/>
    <w:rsid w:val="003E1E8A"/>
    <w:rsid w:val="003E2F73"/>
    <w:rsid w:val="003E34F4"/>
    <w:rsid w:val="003E444F"/>
    <w:rsid w:val="003E4D66"/>
    <w:rsid w:val="003E4E8B"/>
    <w:rsid w:val="003E4EF1"/>
    <w:rsid w:val="003E56B2"/>
    <w:rsid w:val="003E61EE"/>
    <w:rsid w:val="003E633C"/>
    <w:rsid w:val="003E7FDA"/>
    <w:rsid w:val="003F0EE8"/>
    <w:rsid w:val="003F134F"/>
    <w:rsid w:val="003F13EA"/>
    <w:rsid w:val="003F3A75"/>
    <w:rsid w:val="003F47F3"/>
    <w:rsid w:val="003F6EC9"/>
    <w:rsid w:val="003F76E8"/>
    <w:rsid w:val="003F77F5"/>
    <w:rsid w:val="00400044"/>
    <w:rsid w:val="0040047B"/>
    <w:rsid w:val="00400703"/>
    <w:rsid w:val="004021C0"/>
    <w:rsid w:val="00402943"/>
    <w:rsid w:val="0040359D"/>
    <w:rsid w:val="00403A85"/>
    <w:rsid w:val="00403CCA"/>
    <w:rsid w:val="00404941"/>
    <w:rsid w:val="00406DEA"/>
    <w:rsid w:val="00406FBF"/>
    <w:rsid w:val="00407675"/>
    <w:rsid w:val="00407A65"/>
    <w:rsid w:val="00407BEB"/>
    <w:rsid w:val="0041075E"/>
    <w:rsid w:val="00412203"/>
    <w:rsid w:val="00412489"/>
    <w:rsid w:val="0041282A"/>
    <w:rsid w:val="00414367"/>
    <w:rsid w:val="00414DFB"/>
    <w:rsid w:val="004158CC"/>
    <w:rsid w:val="00415DBC"/>
    <w:rsid w:val="00416246"/>
    <w:rsid w:val="00420C38"/>
    <w:rsid w:val="00421CFE"/>
    <w:rsid w:val="0042331A"/>
    <w:rsid w:val="004233E2"/>
    <w:rsid w:val="00424832"/>
    <w:rsid w:val="00424BDD"/>
    <w:rsid w:val="004251FF"/>
    <w:rsid w:val="00426383"/>
    <w:rsid w:val="0042689D"/>
    <w:rsid w:val="004269DC"/>
    <w:rsid w:val="00427A15"/>
    <w:rsid w:val="00430204"/>
    <w:rsid w:val="0043037F"/>
    <w:rsid w:val="00430502"/>
    <w:rsid w:val="00430772"/>
    <w:rsid w:val="00430926"/>
    <w:rsid w:val="004314A7"/>
    <w:rsid w:val="00431DA0"/>
    <w:rsid w:val="00432B35"/>
    <w:rsid w:val="00433D98"/>
    <w:rsid w:val="00433F19"/>
    <w:rsid w:val="004342DA"/>
    <w:rsid w:val="0043501A"/>
    <w:rsid w:val="00435446"/>
    <w:rsid w:val="00435D37"/>
    <w:rsid w:val="00436164"/>
    <w:rsid w:val="004361DC"/>
    <w:rsid w:val="00436500"/>
    <w:rsid w:val="00436C19"/>
    <w:rsid w:val="00437389"/>
    <w:rsid w:val="00440584"/>
    <w:rsid w:val="004405AF"/>
    <w:rsid w:val="00440F0F"/>
    <w:rsid w:val="00442866"/>
    <w:rsid w:val="00442B14"/>
    <w:rsid w:val="00443426"/>
    <w:rsid w:val="00443921"/>
    <w:rsid w:val="00443B8C"/>
    <w:rsid w:val="004441AD"/>
    <w:rsid w:val="004442ED"/>
    <w:rsid w:val="00445468"/>
    <w:rsid w:val="00445BB7"/>
    <w:rsid w:val="004466E2"/>
    <w:rsid w:val="00446CCD"/>
    <w:rsid w:val="00447C2D"/>
    <w:rsid w:val="004503EF"/>
    <w:rsid w:val="00450693"/>
    <w:rsid w:val="004519F7"/>
    <w:rsid w:val="00452092"/>
    <w:rsid w:val="00452D26"/>
    <w:rsid w:val="00452D3A"/>
    <w:rsid w:val="00452EDF"/>
    <w:rsid w:val="00453301"/>
    <w:rsid w:val="00453770"/>
    <w:rsid w:val="00453B8F"/>
    <w:rsid w:val="004541FE"/>
    <w:rsid w:val="00454B38"/>
    <w:rsid w:val="00454E5E"/>
    <w:rsid w:val="004552F9"/>
    <w:rsid w:val="00456452"/>
    <w:rsid w:val="00457F32"/>
    <w:rsid w:val="004605E3"/>
    <w:rsid w:val="004618DB"/>
    <w:rsid w:val="00461E49"/>
    <w:rsid w:val="004631CD"/>
    <w:rsid w:val="00463642"/>
    <w:rsid w:val="004640C9"/>
    <w:rsid w:val="00464144"/>
    <w:rsid w:val="004649E1"/>
    <w:rsid w:val="00464AA6"/>
    <w:rsid w:val="00465D55"/>
    <w:rsid w:val="00467161"/>
    <w:rsid w:val="004700B0"/>
    <w:rsid w:val="004700BA"/>
    <w:rsid w:val="00470C0D"/>
    <w:rsid w:val="00470C22"/>
    <w:rsid w:val="00470D32"/>
    <w:rsid w:val="00472189"/>
    <w:rsid w:val="004737E5"/>
    <w:rsid w:val="004739FC"/>
    <w:rsid w:val="00474D75"/>
    <w:rsid w:val="00475009"/>
    <w:rsid w:val="00476A0A"/>
    <w:rsid w:val="00477BB8"/>
    <w:rsid w:val="0048052A"/>
    <w:rsid w:val="004811C0"/>
    <w:rsid w:val="004822C1"/>
    <w:rsid w:val="004826A7"/>
    <w:rsid w:val="00482904"/>
    <w:rsid w:val="00482B1E"/>
    <w:rsid w:val="004836CF"/>
    <w:rsid w:val="00483CA0"/>
    <w:rsid w:val="004844C8"/>
    <w:rsid w:val="00484687"/>
    <w:rsid w:val="00484FEE"/>
    <w:rsid w:val="004856CE"/>
    <w:rsid w:val="00485877"/>
    <w:rsid w:val="004863E7"/>
    <w:rsid w:val="004866BE"/>
    <w:rsid w:val="00486BFB"/>
    <w:rsid w:val="00492226"/>
    <w:rsid w:val="00492C70"/>
    <w:rsid w:val="00492FD0"/>
    <w:rsid w:val="00494B47"/>
    <w:rsid w:val="00495371"/>
    <w:rsid w:val="00495FF6"/>
    <w:rsid w:val="0049608C"/>
    <w:rsid w:val="00496759"/>
    <w:rsid w:val="00496B1E"/>
    <w:rsid w:val="00496EA2"/>
    <w:rsid w:val="00497245"/>
    <w:rsid w:val="00497368"/>
    <w:rsid w:val="004974F5"/>
    <w:rsid w:val="00497D98"/>
    <w:rsid w:val="00497DED"/>
    <w:rsid w:val="00497E40"/>
    <w:rsid w:val="004A0319"/>
    <w:rsid w:val="004A06C4"/>
    <w:rsid w:val="004A0D13"/>
    <w:rsid w:val="004A0FE9"/>
    <w:rsid w:val="004A38F2"/>
    <w:rsid w:val="004A3ECD"/>
    <w:rsid w:val="004A451F"/>
    <w:rsid w:val="004A4B5C"/>
    <w:rsid w:val="004A539B"/>
    <w:rsid w:val="004A5898"/>
    <w:rsid w:val="004A58DF"/>
    <w:rsid w:val="004A5BD3"/>
    <w:rsid w:val="004A63F4"/>
    <w:rsid w:val="004A6790"/>
    <w:rsid w:val="004A6B80"/>
    <w:rsid w:val="004B11EB"/>
    <w:rsid w:val="004B1DBF"/>
    <w:rsid w:val="004B1FF7"/>
    <w:rsid w:val="004B2150"/>
    <w:rsid w:val="004B224B"/>
    <w:rsid w:val="004B29E7"/>
    <w:rsid w:val="004B2D0F"/>
    <w:rsid w:val="004B2F4D"/>
    <w:rsid w:val="004B38F4"/>
    <w:rsid w:val="004B5585"/>
    <w:rsid w:val="004B633C"/>
    <w:rsid w:val="004B6DA0"/>
    <w:rsid w:val="004B7903"/>
    <w:rsid w:val="004B7EE9"/>
    <w:rsid w:val="004C06AF"/>
    <w:rsid w:val="004C089D"/>
    <w:rsid w:val="004C08C1"/>
    <w:rsid w:val="004C0940"/>
    <w:rsid w:val="004C2402"/>
    <w:rsid w:val="004C261E"/>
    <w:rsid w:val="004C2EA8"/>
    <w:rsid w:val="004C3471"/>
    <w:rsid w:val="004C594D"/>
    <w:rsid w:val="004C630F"/>
    <w:rsid w:val="004C6680"/>
    <w:rsid w:val="004C6BCB"/>
    <w:rsid w:val="004C719F"/>
    <w:rsid w:val="004C742D"/>
    <w:rsid w:val="004C7C54"/>
    <w:rsid w:val="004C7FA0"/>
    <w:rsid w:val="004D2319"/>
    <w:rsid w:val="004D317F"/>
    <w:rsid w:val="004D35FB"/>
    <w:rsid w:val="004D3BEC"/>
    <w:rsid w:val="004D3CA7"/>
    <w:rsid w:val="004D5D1F"/>
    <w:rsid w:val="004D5E9D"/>
    <w:rsid w:val="004D61E9"/>
    <w:rsid w:val="004D67E7"/>
    <w:rsid w:val="004D6F24"/>
    <w:rsid w:val="004D71B2"/>
    <w:rsid w:val="004D7253"/>
    <w:rsid w:val="004E11AB"/>
    <w:rsid w:val="004E130B"/>
    <w:rsid w:val="004E183E"/>
    <w:rsid w:val="004E1BB7"/>
    <w:rsid w:val="004E1ED6"/>
    <w:rsid w:val="004E34C6"/>
    <w:rsid w:val="004E375A"/>
    <w:rsid w:val="004E3C29"/>
    <w:rsid w:val="004E40BF"/>
    <w:rsid w:val="004E48BF"/>
    <w:rsid w:val="004E5661"/>
    <w:rsid w:val="004E59E9"/>
    <w:rsid w:val="004E5EF1"/>
    <w:rsid w:val="004E73E4"/>
    <w:rsid w:val="004E7EFB"/>
    <w:rsid w:val="004F00C1"/>
    <w:rsid w:val="004F07D3"/>
    <w:rsid w:val="004F0FEC"/>
    <w:rsid w:val="004F100D"/>
    <w:rsid w:val="004F1FBD"/>
    <w:rsid w:val="004F22F4"/>
    <w:rsid w:val="004F3EF5"/>
    <w:rsid w:val="004F599B"/>
    <w:rsid w:val="004F66EB"/>
    <w:rsid w:val="004F674C"/>
    <w:rsid w:val="004F7B63"/>
    <w:rsid w:val="004F7CFF"/>
    <w:rsid w:val="004F7FD6"/>
    <w:rsid w:val="0050031A"/>
    <w:rsid w:val="00501238"/>
    <w:rsid w:val="00502DC7"/>
    <w:rsid w:val="00502E29"/>
    <w:rsid w:val="00503A9B"/>
    <w:rsid w:val="00504353"/>
    <w:rsid w:val="00504540"/>
    <w:rsid w:val="005046F7"/>
    <w:rsid w:val="00504A7E"/>
    <w:rsid w:val="00504EF2"/>
    <w:rsid w:val="00504F66"/>
    <w:rsid w:val="0050513F"/>
    <w:rsid w:val="00505D7E"/>
    <w:rsid w:val="00505F58"/>
    <w:rsid w:val="00506167"/>
    <w:rsid w:val="00506401"/>
    <w:rsid w:val="00506C88"/>
    <w:rsid w:val="00506DF4"/>
    <w:rsid w:val="005074C5"/>
    <w:rsid w:val="005076D7"/>
    <w:rsid w:val="005103C3"/>
    <w:rsid w:val="0051128B"/>
    <w:rsid w:val="00511805"/>
    <w:rsid w:val="0051420D"/>
    <w:rsid w:val="005156E4"/>
    <w:rsid w:val="005163AE"/>
    <w:rsid w:val="005168C2"/>
    <w:rsid w:val="005201DB"/>
    <w:rsid w:val="00520BFE"/>
    <w:rsid w:val="00520CB0"/>
    <w:rsid w:val="00520DC8"/>
    <w:rsid w:val="005215C8"/>
    <w:rsid w:val="00521C97"/>
    <w:rsid w:val="00521CE0"/>
    <w:rsid w:val="00522052"/>
    <w:rsid w:val="00522C93"/>
    <w:rsid w:val="00523563"/>
    <w:rsid w:val="00524472"/>
    <w:rsid w:val="005250F7"/>
    <w:rsid w:val="0052685C"/>
    <w:rsid w:val="005273E2"/>
    <w:rsid w:val="00527534"/>
    <w:rsid w:val="00527E9A"/>
    <w:rsid w:val="00530BCF"/>
    <w:rsid w:val="00530CA3"/>
    <w:rsid w:val="00531BC1"/>
    <w:rsid w:val="00531EB9"/>
    <w:rsid w:val="005321F0"/>
    <w:rsid w:val="005322B4"/>
    <w:rsid w:val="00532F8F"/>
    <w:rsid w:val="00533000"/>
    <w:rsid w:val="00533274"/>
    <w:rsid w:val="005343BE"/>
    <w:rsid w:val="0053527C"/>
    <w:rsid w:val="00535B82"/>
    <w:rsid w:val="00535FB3"/>
    <w:rsid w:val="00536503"/>
    <w:rsid w:val="005370E4"/>
    <w:rsid w:val="005371A2"/>
    <w:rsid w:val="005375A7"/>
    <w:rsid w:val="00537987"/>
    <w:rsid w:val="00537AFC"/>
    <w:rsid w:val="00537CDD"/>
    <w:rsid w:val="005400D2"/>
    <w:rsid w:val="00540A17"/>
    <w:rsid w:val="0054237E"/>
    <w:rsid w:val="00543360"/>
    <w:rsid w:val="005439B9"/>
    <w:rsid w:val="00543DA4"/>
    <w:rsid w:val="0054549F"/>
    <w:rsid w:val="00545CBB"/>
    <w:rsid w:val="005476A5"/>
    <w:rsid w:val="00547DB2"/>
    <w:rsid w:val="0055011F"/>
    <w:rsid w:val="00550A0C"/>
    <w:rsid w:val="00550AF6"/>
    <w:rsid w:val="00550C18"/>
    <w:rsid w:val="00550F7E"/>
    <w:rsid w:val="00551BD8"/>
    <w:rsid w:val="0055203F"/>
    <w:rsid w:val="005528B2"/>
    <w:rsid w:val="005530D8"/>
    <w:rsid w:val="00554CF3"/>
    <w:rsid w:val="00554F34"/>
    <w:rsid w:val="00556080"/>
    <w:rsid w:val="005563AE"/>
    <w:rsid w:val="00557895"/>
    <w:rsid w:val="00560222"/>
    <w:rsid w:val="0056113E"/>
    <w:rsid w:val="005613A2"/>
    <w:rsid w:val="00562047"/>
    <w:rsid w:val="00562275"/>
    <w:rsid w:val="00562763"/>
    <w:rsid w:val="0056374F"/>
    <w:rsid w:val="005644DF"/>
    <w:rsid w:val="00564551"/>
    <w:rsid w:val="00564895"/>
    <w:rsid w:val="005649BC"/>
    <w:rsid w:val="00567840"/>
    <w:rsid w:val="00567ACC"/>
    <w:rsid w:val="0057038A"/>
    <w:rsid w:val="00570897"/>
    <w:rsid w:val="00570CEE"/>
    <w:rsid w:val="00571ADC"/>
    <w:rsid w:val="00572559"/>
    <w:rsid w:val="00572C2E"/>
    <w:rsid w:val="005730F3"/>
    <w:rsid w:val="0057377D"/>
    <w:rsid w:val="00573782"/>
    <w:rsid w:val="0057406B"/>
    <w:rsid w:val="00575F1B"/>
    <w:rsid w:val="005768C8"/>
    <w:rsid w:val="005768E8"/>
    <w:rsid w:val="00576B42"/>
    <w:rsid w:val="00576F5C"/>
    <w:rsid w:val="005771C6"/>
    <w:rsid w:val="0057795C"/>
    <w:rsid w:val="00577968"/>
    <w:rsid w:val="00580948"/>
    <w:rsid w:val="00580D08"/>
    <w:rsid w:val="00580F70"/>
    <w:rsid w:val="00581A55"/>
    <w:rsid w:val="00581B9A"/>
    <w:rsid w:val="0058272C"/>
    <w:rsid w:val="00582CA0"/>
    <w:rsid w:val="00582F91"/>
    <w:rsid w:val="00583061"/>
    <w:rsid w:val="00583677"/>
    <w:rsid w:val="00583AFF"/>
    <w:rsid w:val="00583F00"/>
    <w:rsid w:val="00584123"/>
    <w:rsid w:val="005869C0"/>
    <w:rsid w:val="00587BF1"/>
    <w:rsid w:val="0059097C"/>
    <w:rsid w:val="00590D3D"/>
    <w:rsid w:val="005912FA"/>
    <w:rsid w:val="00591533"/>
    <w:rsid w:val="005925DB"/>
    <w:rsid w:val="005926CB"/>
    <w:rsid w:val="00592963"/>
    <w:rsid w:val="0059338A"/>
    <w:rsid w:val="00593A7B"/>
    <w:rsid w:val="00593BB1"/>
    <w:rsid w:val="005941B2"/>
    <w:rsid w:val="0059547A"/>
    <w:rsid w:val="0059611F"/>
    <w:rsid w:val="005A030A"/>
    <w:rsid w:val="005A078F"/>
    <w:rsid w:val="005A1A21"/>
    <w:rsid w:val="005A24B1"/>
    <w:rsid w:val="005A26B2"/>
    <w:rsid w:val="005A36C3"/>
    <w:rsid w:val="005A3EF1"/>
    <w:rsid w:val="005A4677"/>
    <w:rsid w:val="005A486F"/>
    <w:rsid w:val="005A5152"/>
    <w:rsid w:val="005A7C90"/>
    <w:rsid w:val="005A7FA3"/>
    <w:rsid w:val="005B10F1"/>
    <w:rsid w:val="005B1131"/>
    <w:rsid w:val="005B2214"/>
    <w:rsid w:val="005B26CC"/>
    <w:rsid w:val="005B280E"/>
    <w:rsid w:val="005B314B"/>
    <w:rsid w:val="005B3154"/>
    <w:rsid w:val="005B3223"/>
    <w:rsid w:val="005B4EF6"/>
    <w:rsid w:val="005B5420"/>
    <w:rsid w:val="005B6097"/>
    <w:rsid w:val="005B6C5B"/>
    <w:rsid w:val="005B7687"/>
    <w:rsid w:val="005C0A84"/>
    <w:rsid w:val="005C1227"/>
    <w:rsid w:val="005C15D2"/>
    <w:rsid w:val="005C2104"/>
    <w:rsid w:val="005C2A9B"/>
    <w:rsid w:val="005C2D04"/>
    <w:rsid w:val="005C32BD"/>
    <w:rsid w:val="005C42F8"/>
    <w:rsid w:val="005C581B"/>
    <w:rsid w:val="005C5A72"/>
    <w:rsid w:val="005C6FEA"/>
    <w:rsid w:val="005C7454"/>
    <w:rsid w:val="005D1F05"/>
    <w:rsid w:val="005D1F95"/>
    <w:rsid w:val="005D2042"/>
    <w:rsid w:val="005D218C"/>
    <w:rsid w:val="005D3167"/>
    <w:rsid w:val="005D366E"/>
    <w:rsid w:val="005D416A"/>
    <w:rsid w:val="005D48AF"/>
    <w:rsid w:val="005D5FC9"/>
    <w:rsid w:val="005D6E0E"/>
    <w:rsid w:val="005D6F6B"/>
    <w:rsid w:val="005D6FAF"/>
    <w:rsid w:val="005D7BBE"/>
    <w:rsid w:val="005D7BDB"/>
    <w:rsid w:val="005E044A"/>
    <w:rsid w:val="005E0666"/>
    <w:rsid w:val="005E0783"/>
    <w:rsid w:val="005E0CC6"/>
    <w:rsid w:val="005E16AD"/>
    <w:rsid w:val="005E28C3"/>
    <w:rsid w:val="005E2E05"/>
    <w:rsid w:val="005E2E90"/>
    <w:rsid w:val="005E30CB"/>
    <w:rsid w:val="005E33D7"/>
    <w:rsid w:val="005E4D8A"/>
    <w:rsid w:val="005E5A12"/>
    <w:rsid w:val="005E5ADA"/>
    <w:rsid w:val="005E5D9E"/>
    <w:rsid w:val="005E76EF"/>
    <w:rsid w:val="005E7737"/>
    <w:rsid w:val="005E7C58"/>
    <w:rsid w:val="005F2148"/>
    <w:rsid w:val="005F2584"/>
    <w:rsid w:val="005F2CFF"/>
    <w:rsid w:val="005F3B22"/>
    <w:rsid w:val="005F3DB3"/>
    <w:rsid w:val="005F4C2F"/>
    <w:rsid w:val="005F5530"/>
    <w:rsid w:val="005F581F"/>
    <w:rsid w:val="005F6156"/>
    <w:rsid w:val="005F63D8"/>
    <w:rsid w:val="005F6EDE"/>
    <w:rsid w:val="005F700C"/>
    <w:rsid w:val="005F7C6D"/>
    <w:rsid w:val="00600646"/>
    <w:rsid w:val="006023D0"/>
    <w:rsid w:val="006027C2"/>
    <w:rsid w:val="00602F5D"/>
    <w:rsid w:val="006037AE"/>
    <w:rsid w:val="00603874"/>
    <w:rsid w:val="00603EDF"/>
    <w:rsid w:val="00603F5C"/>
    <w:rsid w:val="006052AF"/>
    <w:rsid w:val="00605575"/>
    <w:rsid w:val="0060561F"/>
    <w:rsid w:val="00605CBF"/>
    <w:rsid w:val="00606996"/>
    <w:rsid w:val="00606ED6"/>
    <w:rsid w:val="00606F96"/>
    <w:rsid w:val="0060737D"/>
    <w:rsid w:val="00610350"/>
    <w:rsid w:val="00610399"/>
    <w:rsid w:val="00611E9E"/>
    <w:rsid w:val="006120A2"/>
    <w:rsid w:val="0061287D"/>
    <w:rsid w:val="00612BDB"/>
    <w:rsid w:val="006137BB"/>
    <w:rsid w:val="00613E40"/>
    <w:rsid w:val="006142F8"/>
    <w:rsid w:val="00615486"/>
    <w:rsid w:val="006156BE"/>
    <w:rsid w:val="00615AAF"/>
    <w:rsid w:val="006178BF"/>
    <w:rsid w:val="006179DF"/>
    <w:rsid w:val="00617C10"/>
    <w:rsid w:val="00620189"/>
    <w:rsid w:val="006202F9"/>
    <w:rsid w:val="0062031E"/>
    <w:rsid w:val="0062036D"/>
    <w:rsid w:val="00620AF0"/>
    <w:rsid w:val="00620B4E"/>
    <w:rsid w:val="00621888"/>
    <w:rsid w:val="00622471"/>
    <w:rsid w:val="0062297A"/>
    <w:rsid w:val="00624B16"/>
    <w:rsid w:val="006268F7"/>
    <w:rsid w:val="00627508"/>
    <w:rsid w:val="0062778E"/>
    <w:rsid w:val="0063047E"/>
    <w:rsid w:val="00630B34"/>
    <w:rsid w:val="006310C0"/>
    <w:rsid w:val="00631CEA"/>
    <w:rsid w:val="00632C4A"/>
    <w:rsid w:val="00633377"/>
    <w:rsid w:val="006335C5"/>
    <w:rsid w:val="00633CF4"/>
    <w:rsid w:val="006342F9"/>
    <w:rsid w:val="006343CE"/>
    <w:rsid w:val="0063460B"/>
    <w:rsid w:val="006354B0"/>
    <w:rsid w:val="0063552A"/>
    <w:rsid w:val="00635FAF"/>
    <w:rsid w:val="00637D0F"/>
    <w:rsid w:val="00637E10"/>
    <w:rsid w:val="00640006"/>
    <w:rsid w:val="006402C2"/>
    <w:rsid w:val="0064057D"/>
    <w:rsid w:val="006406C7"/>
    <w:rsid w:val="00640922"/>
    <w:rsid w:val="00640C88"/>
    <w:rsid w:val="00640CC3"/>
    <w:rsid w:val="00640D98"/>
    <w:rsid w:val="0064164F"/>
    <w:rsid w:val="00642D34"/>
    <w:rsid w:val="0064334C"/>
    <w:rsid w:val="006435B5"/>
    <w:rsid w:val="00643E35"/>
    <w:rsid w:val="00643F5A"/>
    <w:rsid w:val="00646B5F"/>
    <w:rsid w:val="00646FF7"/>
    <w:rsid w:val="00647209"/>
    <w:rsid w:val="006474D5"/>
    <w:rsid w:val="00647A93"/>
    <w:rsid w:val="00647C8A"/>
    <w:rsid w:val="00650365"/>
    <w:rsid w:val="00650E15"/>
    <w:rsid w:val="00651B18"/>
    <w:rsid w:val="006529F5"/>
    <w:rsid w:val="006530A2"/>
    <w:rsid w:val="006536C7"/>
    <w:rsid w:val="00653FA4"/>
    <w:rsid w:val="0065467C"/>
    <w:rsid w:val="006548BE"/>
    <w:rsid w:val="006553A4"/>
    <w:rsid w:val="00655414"/>
    <w:rsid w:val="006565E3"/>
    <w:rsid w:val="00656DF5"/>
    <w:rsid w:val="00657A47"/>
    <w:rsid w:val="00660805"/>
    <w:rsid w:val="00660A9D"/>
    <w:rsid w:val="006623F0"/>
    <w:rsid w:val="00662685"/>
    <w:rsid w:val="006628D4"/>
    <w:rsid w:val="006630F9"/>
    <w:rsid w:val="00663165"/>
    <w:rsid w:val="00664071"/>
    <w:rsid w:val="006640AD"/>
    <w:rsid w:val="0066451D"/>
    <w:rsid w:val="00665188"/>
    <w:rsid w:val="00666177"/>
    <w:rsid w:val="0066661E"/>
    <w:rsid w:val="006673C3"/>
    <w:rsid w:val="00667AA9"/>
    <w:rsid w:val="00671277"/>
    <w:rsid w:val="006714C0"/>
    <w:rsid w:val="006735BE"/>
    <w:rsid w:val="00673801"/>
    <w:rsid w:val="00673C82"/>
    <w:rsid w:val="006742FC"/>
    <w:rsid w:val="00675472"/>
    <w:rsid w:val="00675FA4"/>
    <w:rsid w:val="00677595"/>
    <w:rsid w:val="006776C1"/>
    <w:rsid w:val="00677A0F"/>
    <w:rsid w:val="006805C0"/>
    <w:rsid w:val="006813FE"/>
    <w:rsid w:val="0068249A"/>
    <w:rsid w:val="00682B55"/>
    <w:rsid w:val="006842D7"/>
    <w:rsid w:val="00684DA0"/>
    <w:rsid w:val="0068519A"/>
    <w:rsid w:val="00685218"/>
    <w:rsid w:val="006856BF"/>
    <w:rsid w:val="00685783"/>
    <w:rsid w:val="006860C4"/>
    <w:rsid w:val="006863C8"/>
    <w:rsid w:val="00687402"/>
    <w:rsid w:val="0068756F"/>
    <w:rsid w:val="00687869"/>
    <w:rsid w:val="00687BBF"/>
    <w:rsid w:val="006923EA"/>
    <w:rsid w:val="00692DC6"/>
    <w:rsid w:val="00693BF4"/>
    <w:rsid w:val="00693D37"/>
    <w:rsid w:val="00694FFF"/>
    <w:rsid w:val="006954A4"/>
    <w:rsid w:val="00695FEB"/>
    <w:rsid w:val="006964BE"/>
    <w:rsid w:val="00696F7A"/>
    <w:rsid w:val="00697A5F"/>
    <w:rsid w:val="00697E02"/>
    <w:rsid w:val="00697E26"/>
    <w:rsid w:val="00697F49"/>
    <w:rsid w:val="006A03F1"/>
    <w:rsid w:val="006A0969"/>
    <w:rsid w:val="006A0FB8"/>
    <w:rsid w:val="006A151F"/>
    <w:rsid w:val="006A1AB1"/>
    <w:rsid w:val="006A2DFA"/>
    <w:rsid w:val="006A34EC"/>
    <w:rsid w:val="006A3FFD"/>
    <w:rsid w:val="006A43C3"/>
    <w:rsid w:val="006A456B"/>
    <w:rsid w:val="006A471B"/>
    <w:rsid w:val="006A68FA"/>
    <w:rsid w:val="006A69BD"/>
    <w:rsid w:val="006A69E8"/>
    <w:rsid w:val="006A774A"/>
    <w:rsid w:val="006A7BCA"/>
    <w:rsid w:val="006A7E4B"/>
    <w:rsid w:val="006B021F"/>
    <w:rsid w:val="006B10BF"/>
    <w:rsid w:val="006B13DB"/>
    <w:rsid w:val="006B17D1"/>
    <w:rsid w:val="006B1CFE"/>
    <w:rsid w:val="006B247A"/>
    <w:rsid w:val="006B28B2"/>
    <w:rsid w:val="006B290B"/>
    <w:rsid w:val="006B3169"/>
    <w:rsid w:val="006B3235"/>
    <w:rsid w:val="006B37E4"/>
    <w:rsid w:val="006B3B2B"/>
    <w:rsid w:val="006B4A7E"/>
    <w:rsid w:val="006B4E87"/>
    <w:rsid w:val="006B50A3"/>
    <w:rsid w:val="006B54B0"/>
    <w:rsid w:val="006B609B"/>
    <w:rsid w:val="006B64A5"/>
    <w:rsid w:val="006B6AC3"/>
    <w:rsid w:val="006B73FB"/>
    <w:rsid w:val="006B7EDC"/>
    <w:rsid w:val="006C07F3"/>
    <w:rsid w:val="006C08F9"/>
    <w:rsid w:val="006C091C"/>
    <w:rsid w:val="006C0C44"/>
    <w:rsid w:val="006C1581"/>
    <w:rsid w:val="006C1AA6"/>
    <w:rsid w:val="006C231E"/>
    <w:rsid w:val="006C46B8"/>
    <w:rsid w:val="006C48C9"/>
    <w:rsid w:val="006C5F69"/>
    <w:rsid w:val="006C660F"/>
    <w:rsid w:val="006C6B7A"/>
    <w:rsid w:val="006C6DA9"/>
    <w:rsid w:val="006C6F3B"/>
    <w:rsid w:val="006C72AF"/>
    <w:rsid w:val="006C7A6C"/>
    <w:rsid w:val="006D1698"/>
    <w:rsid w:val="006D34E4"/>
    <w:rsid w:val="006D3BD7"/>
    <w:rsid w:val="006D415F"/>
    <w:rsid w:val="006D49DC"/>
    <w:rsid w:val="006D4E01"/>
    <w:rsid w:val="006D5559"/>
    <w:rsid w:val="006D5759"/>
    <w:rsid w:val="006D58CF"/>
    <w:rsid w:val="006D63B4"/>
    <w:rsid w:val="006D6910"/>
    <w:rsid w:val="006D7F32"/>
    <w:rsid w:val="006E0D2F"/>
    <w:rsid w:val="006E0F0C"/>
    <w:rsid w:val="006E154F"/>
    <w:rsid w:val="006E1839"/>
    <w:rsid w:val="006E19B3"/>
    <w:rsid w:val="006E1A58"/>
    <w:rsid w:val="006E222F"/>
    <w:rsid w:val="006E2EF9"/>
    <w:rsid w:val="006E55D2"/>
    <w:rsid w:val="006E57E0"/>
    <w:rsid w:val="006E64D4"/>
    <w:rsid w:val="006E7258"/>
    <w:rsid w:val="006E7B24"/>
    <w:rsid w:val="006F0FF6"/>
    <w:rsid w:val="006F1137"/>
    <w:rsid w:val="006F1C45"/>
    <w:rsid w:val="006F219B"/>
    <w:rsid w:val="006F222F"/>
    <w:rsid w:val="006F22CD"/>
    <w:rsid w:val="006F275C"/>
    <w:rsid w:val="006F282A"/>
    <w:rsid w:val="006F2BCF"/>
    <w:rsid w:val="006F33A3"/>
    <w:rsid w:val="006F3F86"/>
    <w:rsid w:val="006F4139"/>
    <w:rsid w:val="006F461A"/>
    <w:rsid w:val="006F47D5"/>
    <w:rsid w:val="006F4A5B"/>
    <w:rsid w:val="006F4B39"/>
    <w:rsid w:val="006F4C95"/>
    <w:rsid w:val="006F4EA5"/>
    <w:rsid w:val="006F5093"/>
    <w:rsid w:val="006F6555"/>
    <w:rsid w:val="006F75BD"/>
    <w:rsid w:val="006F7BEB"/>
    <w:rsid w:val="007005DE"/>
    <w:rsid w:val="00700F63"/>
    <w:rsid w:val="00703003"/>
    <w:rsid w:val="00703C80"/>
    <w:rsid w:val="0070508F"/>
    <w:rsid w:val="00705248"/>
    <w:rsid w:val="00706E56"/>
    <w:rsid w:val="00706E8C"/>
    <w:rsid w:val="007076DE"/>
    <w:rsid w:val="00707D80"/>
    <w:rsid w:val="00710487"/>
    <w:rsid w:val="00710E7C"/>
    <w:rsid w:val="007117BD"/>
    <w:rsid w:val="007117F5"/>
    <w:rsid w:val="00711D77"/>
    <w:rsid w:val="00712156"/>
    <w:rsid w:val="00712F3C"/>
    <w:rsid w:val="00713E84"/>
    <w:rsid w:val="00714061"/>
    <w:rsid w:val="0071421A"/>
    <w:rsid w:val="0071446D"/>
    <w:rsid w:val="007146A0"/>
    <w:rsid w:val="00714BA7"/>
    <w:rsid w:val="00714BE1"/>
    <w:rsid w:val="00714E2F"/>
    <w:rsid w:val="00715A1E"/>
    <w:rsid w:val="00716491"/>
    <w:rsid w:val="007203B9"/>
    <w:rsid w:val="00723595"/>
    <w:rsid w:val="007236FE"/>
    <w:rsid w:val="00723F28"/>
    <w:rsid w:val="00723FFE"/>
    <w:rsid w:val="00724D09"/>
    <w:rsid w:val="00725051"/>
    <w:rsid w:val="00725A42"/>
    <w:rsid w:val="00725EFB"/>
    <w:rsid w:val="007265D0"/>
    <w:rsid w:val="00726FF5"/>
    <w:rsid w:val="0072707A"/>
    <w:rsid w:val="0072785A"/>
    <w:rsid w:val="007302C6"/>
    <w:rsid w:val="0073088D"/>
    <w:rsid w:val="00730976"/>
    <w:rsid w:val="00730DF3"/>
    <w:rsid w:val="0073135A"/>
    <w:rsid w:val="00731698"/>
    <w:rsid w:val="00731CC4"/>
    <w:rsid w:val="00731DC1"/>
    <w:rsid w:val="0073206A"/>
    <w:rsid w:val="0073247E"/>
    <w:rsid w:val="00732818"/>
    <w:rsid w:val="0073372A"/>
    <w:rsid w:val="00733ACF"/>
    <w:rsid w:val="00733F66"/>
    <w:rsid w:val="00733F8B"/>
    <w:rsid w:val="0073441A"/>
    <w:rsid w:val="00734DD2"/>
    <w:rsid w:val="007353EA"/>
    <w:rsid w:val="00735AA3"/>
    <w:rsid w:val="00735C2A"/>
    <w:rsid w:val="00737459"/>
    <w:rsid w:val="00737C5A"/>
    <w:rsid w:val="00737FE2"/>
    <w:rsid w:val="00740047"/>
    <w:rsid w:val="0074017B"/>
    <w:rsid w:val="00740505"/>
    <w:rsid w:val="0074099D"/>
    <w:rsid w:val="007409FD"/>
    <w:rsid w:val="0074168F"/>
    <w:rsid w:val="00742502"/>
    <w:rsid w:val="00743BAD"/>
    <w:rsid w:val="00743C31"/>
    <w:rsid w:val="00744008"/>
    <w:rsid w:val="0074408B"/>
    <w:rsid w:val="00744740"/>
    <w:rsid w:val="00744DEF"/>
    <w:rsid w:val="00745371"/>
    <w:rsid w:val="007458BA"/>
    <w:rsid w:val="007458BD"/>
    <w:rsid w:val="00746815"/>
    <w:rsid w:val="00746A20"/>
    <w:rsid w:val="007472E5"/>
    <w:rsid w:val="00752933"/>
    <w:rsid w:val="00753050"/>
    <w:rsid w:val="00753230"/>
    <w:rsid w:val="0075339F"/>
    <w:rsid w:val="007537EC"/>
    <w:rsid w:val="00754D9D"/>
    <w:rsid w:val="0076001E"/>
    <w:rsid w:val="007605DE"/>
    <w:rsid w:val="007617FF"/>
    <w:rsid w:val="00762AB7"/>
    <w:rsid w:val="0076489D"/>
    <w:rsid w:val="00764AFB"/>
    <w:rsid w:val="00766944"/>
    <w:rsid w:val="00766CCA"/>
    <w:rsid w:val="0076758E"/>
    <w:rsid w:val="0076761A"/>
    <w:rsid w:val="007707BF"/>
    <w:rsid w:val="00772CFC"/>
    <w:rsid w:val="0077318D"/>
    <w:rsid w:val="00773504"/>
    <w:rsid w:val="00774654"/>
    <w:rsid w:val="00774D41"/>
    <w:rsid w:val="00775265"/>
    <w:rsid w:val="007758C9"/>
    <w:rsid w:val="00775EF3"/>
    <w:rsid w:val="00777DF0"/>
    <w:rsid w:val="007807E0"/>
    <w:rsid w:val="00780A73"/>
    <w:rsid w:val="007823D2"/>
    <w:rsid w:val="00782840"/>
    <w:rsid w:val="007833AC"/>
    <w:rsid w:val="00783410"/>
    <w:rsid w:val="007837D7"/>
    <w:rsid w:val="00783E24"/>
    <w:rsid w:val="007841DF"/>
    <w:rsid w:val="00784A72"/>
    <w:rsid w:val="007857A9"/>
    <w:rsid w:val="00785B84"/>
    <w:rsid w:val="0078608B"/>
    <w:rsid w:val="00787058"/>
    <w:rsid w:val="007872FD"/>
    <w:rsid w:val="007911A2"/>
    <w:rsid w:val="0079485E"/>
    <w:rsid w:val="007975B4"/>
    <w:rsid w:val="007A080D"/>
    <w:rsid w:val="007A113C"/>
    <w:rsid w:val="007A129A"/>
    <w:rsid w:val="007A165A"/>
    <w:rsid w:val="007A19AD"/>
    <w:rsid w:val="007A240E"/>
    <w:rsid w:val="007A246C"/>
    <w:rsid w:val="007A26CD"/>
    <w:rsid w:val="007A2DEE"/>
    <w:rsid w:val="007A45C6"/>
    <w:rsid w:val="007A57F1"/>
    <w:rsid w:val="007A60BB"/>
    <w:rsid w:val="007A6749"/>
    <w:rsid w:val="007A7998"/>
    <w:rsid w:val="007B136D"/>
    <w:rsid w:val="007B33D1"/>
    <w:rsid w:val="007B3483"/>
    <w:rsid w:val="007B394C"/>
    <w:rsid w:val="007B39AD"/>
    <w:rsid w:val="007B3E13"/>
    <w:rsid w:val="007B3ED0"/>
    <w:rsid w:val="007B4B5F"/>
    <w:rsid w:val="007B5060"/>
    <w:rsid w:val="007B566F"/>
    <w:rsid w:val="007B5862"/>
    <w:rsid w:val="007B6EC4"/>
    <w:rsid w:val="007B7237"/>
    <w:rsid w:val="007C07F0"/>
    <w:rsid w:val="007C17F3"/>
    <w:rsid w:val="007C2BA4"/>
    <w:rsid w:val="007C2E9B"/>
    <w:rsid w:val="007C31C1"/>
    <w:rsid w:val="007C3BCB"/>
    <w:rsid w:val="007C4AA5"/>
    <w:rsid w:val="007C4C5B"/>
    <w:rsid w:val="007C5B29"/>
    <w:rsid w:val="007C5D68"/>
    <w:rsid w:val="007C6132"/>
    <w:rsid w:val="007C730F"/>
    <w:rsid w:val="007C7659"/>
    <w:rsid w:val="007C7AAC"/>
    <w:rsid w:val="007D042B"/>
    <w:rsid w:val="007D0E45"/>
    <w:rsid w:val="007D1875"/>
    <w:rsid w:val="007D1DDC"/>
    <w:rsid w:val="007D33A6"/>
    <w:rsid w:val="007D408F"/>
    <w:rsid w:val="007D41A0"/>
    <w:rsid w:val="007D41B1"/>
    <w:rsid w:val="007D4400"/>
    <w:rsid w:val="007D4F34"/>
    <w:rsid w:val="007D55FB"/>
    <w:rsid w:val="007D5788"/>
    <w:rsid w:val="007D578F"/>
    <w:rsid w:val="007D5975"/>
    <w:rsid w:val="007D5977"/>
    <w:rsid w:val="007D5AFD"/>
    <w:rsid w:val="007D7092"/>
    <w:rsid w:val="007D797E"/>
    <w:rsid w:val="007E0368"/>
    <w:rsid w:val="007E2586"/>
    <w:rsid w:val="007E2730"/>
    <w:rsid w:val="007E3721"/>
    <w:rsid w:val="007E37FE"/>
    <w:rsid w:val="007E4803"/>
    <w:rsid w:val="007E5A9C"/>
    <w:rsid w:val="007E77E8"/>
    <w:rsid w:val="007E7B9B"/>
    <w:rsid w:val="007F0B7E"/>
    <w:rsid w:val="007F0BD8"/>
    <w:rsid w:val="007F0DC7"/>
    <w:rsid w:val="007F2EEE"/>
    <w:rsid w:val="007F5927"/>
    <w:rsid w:val="007F75D7"/>
    <w:rsid w:val="007F76E6"/>
    <w:rsid w:val="0080049A"/>
    <w:rsid w:val="00800DE4"/>
    <w:rsid w:val="008020D0"/>
    <w:rsid w:val="008021F0"/>
    <w:rsid w:val="00802763"/>
    <w:rsid w:val="00802C2A"/>
    <w:rsid w:val="00802D9F"/>
    <w:rsid w:val="008032D2"/>
    <w:rsid w:val="00803D09"/>
    <w:rsid w:val="008045FA"/>
    <w:rsid w:val="00804B17"/>
    <w:rsid w:val="00804E6E"/>
    <w:rsid w:val="00805885"/>
    <w:rsid w:val="00805A81"/>
    <w:rsid w:val="00805C22"/>
    <w:rsid w:val="008071F8"/>
    <w:rsid w:val="00807E78"/>
    <w:rsid w:val="008103C0"/>
    <w:rsid w:val="008109AE"/>
    <w:rsid w:val="00810AC9"/>
    <w:rsid w:val="00810C13"/>
    <w:rsid w:val="00811235"/>
    <w:rsid w:val="00811666"/>
    <w:rsid w:val="008120FD"/>
    <w:rsid w:val="00813BC8"/>
    <w:rsid w:val="00813EC9"/>
    <w:rsid w:val="00813ECA"/>
    <w:rsid w:val="00814E11"/>
    <w:rsid w:val="00815806"/>
    <w:rsid w:val="00816B18"/>
    <w:rsid w:val="00816B2E"/>
    <w:rsid w:val="00817CBA"/>
    <w:rsid w:val="008200D4"/>
    <w:rsid w:val="00820ADE"/>
    <w:rsid w:val="00820B80"/>
    <w:rsid w:val="00821873"/>
    <w:rsid w:val="008226E8"/>
    <w:rsid w:val="00823036"/>
    <w:rsid w:val="008233AB"/>
    <w:rsid w:val="008237C0"/>
    <w:rsid w:val="0082398E"/>
    <w:rsid w:val="00823E19"/>
    <w:rsid w:val="008245EC"/>
    <w:rsid w:val="0082483A"/>
    <w:rsid w:val="00824989"/>
    <w:rsid w:val="00824CD5"/>
    <w:rsid w:val="008250C6"/>
    <w:rsid w:val="00827AC2"/>
    <w:rsid w:val="00831E6A"/>
    <w:rsid w:val="008323B0"/>
    <w:rsid w:val="00832FBF"/>
    <w:rsid w:val="008330BF"/>
    <w:rsid w:val="00834934"/>
    <w:rsid w:val="008354A0"/>
    <w:rsid w:val="00835A9E"/>
    <w:rsid w:val="00836928"/>
    <w:rsid w:val="00836FD9"/>
    <w:rsid w:val="00837917"/>
    <w:rsid w:val="008379BF"/>
    <w:rsid w:val="00837B13"/>
    <w:rsid w:val="00840008"/>
    <w:rsid w:val="008403D8"/>
    <w:rsid w:val="0084286B"/>
    <w:rsid w:val="00843B06"/>
    <w:rsid w:val="008440E6"/>
    <w:rsid w:val="008444E8"/>
    <w:rsid w:val="00844713"/>
    <w:rsid w:val="00844C0A"/>
    <w:rsid w:val="0084530B"/>
    <w:rsid w:val="00845E0A"/>
    <w:rsid w:val="0084620B"/>
    <w:rsid w:val="00846BA5"/>
    <w:rsid w:val="00846C17"/>
    <w:rsid w:val="00846F6A"/>
    <w:rsid w:val="008476AF"/>
    <w:rsid w:val="00850720"/>
    <w:rsid w:val="0085166C"/>
    <w:rsid w:val="00851AC4"/>
    <w:rsid w:val="0085434F"/>
    <w:rsid w:val="00855630"/>
    <w:rsid w:val="0085736E"/>
    <w:rsid w:val="008578D6"/>
    <w:rsid w:val="0086052B"/>
    <w:rsid w:val="00862CFC"/>
    <w:rsid w:val="00862FF2"/>
    <w:rsid w:val="00863DA4"/>
    <w:rsid w:val="0086429D"/>
    <w:rsid w:val="00864B71"/>
    <w:rsid w:val="00865DBE"/>
    <w:rsid w:val="00866330"/>
    <w:rsid w:val="0086649A"/>
    <w:rsid w:val="0086694B"/>
    <w:rsid w:val="00867399"/>
    <w:rsid w:val="008700FC"/>
    <w:rsid w:val="00870E56"/>
    <w:rsid w:val="00871186"/>
    <w:rsid w:val="008724E6"/>
    <w:rsid w:val="008731EB"/>
    <w:rsid w:val="008761C6"/>
    <w:rsid w:val="008764BC"/>
    <w:rsid w:val="00876AC2"/>
    <w:rsid w:val="00876E97"/>
    <w:rsid w:val="00876F48"/>
    <w:rsid w:val="0088190E"/>
    <w:rsid w:val="008820E5"/>
    <w:rsid w:val="008823E8"/>
    <w:rsid w:val="008831AA"/>
    <w:rsid w:val="00883744"/>
    <w:rsid w:val="0088397C"/>
    <w:rsid w:val="00883DB1"/>
    <w:rsid w:val="008843A3"/>
    <w:rsid w:val="008861A1"/>
    <w:rsid w:val="00887D7A"/>
    <w:rsid w:val="00887F52"/>
    <w:rsid w:val="00887FF2"/>
    <w:rsid w:val="008908A1"/>
    <w:rsid w:val="00890C07"/>
    <w:rsid w:val="00891651"/>
    <w:rsid w:val="00891674"/>
    <w:rsid w:val="0089182C"/>
    <w:rsid w:val="00891D97"/>
    <w:rsid w:val="00892908"/>
    <w:rsid w:val="00893182"/>
    <w:rsid w:val="00893743"/>
    <w:rsid w:val="00894446"/>
    <w:rsid w:val="00895AB3"/>
    <w:rsid w:val="008969C6"/>
    <w:rsid w:val="00896DC2"/>
    <w:rsid w:val="00897438"/>
    <w:rsid w:val="008974B0"/>
    <w:rsid w:val="00897A6D"/>
    <w:rsid w:val="008A01CA"/>
    <w:rsid w:val="008A03A8"/>
    <w:rsid w:val="008A4B3D"/>
    <w:rsid w:val="008A52B4"/>
    <w:rsid w:val="008A572F"/>
    <w:rsid w:val="008A5A3C"/>
    <w:rsid w:val="008A6A75"/>
    <w:rsid w:val="008A7323"/>
    <w:rsid w:val="008B1D52"/>
    <w:rsid w:val="008B2203"/>
    <w:rsid w:val="008B226E"/>
    <w:rsid w:val="008B2E1C"/>
    <w:rsid w:val="008B36EA"/>
    <w:rsid w:val="008B460F"/>
    <w:rsid w:val="008B4A0E"/>
    <w:rsid w:val="008B4DA9"/>
    <w:rsid w:val="008B5405"/>
    <w:rsid w:val="008B5DE9"/>
    <w:rsid w:val="008B675B"/>
    <w:rsid w:val="008B68B0"/>
    <w:rsid w:val="008B7623"/>
    <w:rsid w:val="008C00B0"/>
    <w:rsid w:val="008C025E"/>
    <w:rsid w:val="008C063D"/>
    <w:rsid w:val="008C11F2"/>
    <w:rsid w:val="008C1E8F"/>
    <w:rsid w:val="008C316E"/>
    <w:rsid w:val="008C3875"/>
    <w:rsid w:val="008C420B"/>
    <w:rsid w:val="008C5840"/>
    <w:rsid w:val="008C5AD4"/>
    <w:rsid w:val="008C6102"/>
    <w:rsid w:val="008C6241"/>
    <w:rsid w:val="008C78D8"/>
    <w:rsid w:val="008C7AEF"/>
    <w:rsid w:val="008D016A"/>
    <w:rsid w:val="008D08A0"/>
    <w:rsid w:val="008D0E8E"/>
    <w:rsid w:val="008D206E"/>
    <w:rsid w:val="008D21D5"/>
    <w:rsid w:val="008D24B4"/>
    <w:rsid w:val="008D2895"/>
    <w:rsid w:val="008D2CB3"/>
    <w:rsid w:val="008D3B68"/>
    <w:rsid w:val="008D4F2A"/>
    <w:rsid w:val="008D5989"/>
    <w:rsid w:val="008D5C93"/>
    <w:rsid w:val="008D5DBA"/>
    <w:rsid w:val="008E0640"/>
    <w:rsid w:val="008E0F97"/>
    <w:rsid w:val="008E2804"/>
    <w:rsid w:val="008E442C"/>
    <w:rsid w:val="008E460B"/>
    <w:rsid w:val="008E46BC"/>
    <w:rsid w:val="008E484E"/>
    <w:rsid w:val="008E4961"/>
    <w:rsid w:val="008E530A"/>
    <w:rsid w:val="008E5B59"/>
    <w:rsid w:val="008E6246"/>
    <w:rsid w:val="008E7261"/>
    <w:rsid w:val="008E78DA"/>
    <w:rsid w:val="008E7B69"/>
    <w:rsid w:val="008F06AC"/>
    <w:rsid w:val="008F0D55"/>
    <w:rsid w:val="008F0DB3"/>
    <w:rsid w:val="008F1055"/>
    <w:rsid w:val="008F1BCF"/>
    <w:rsid w:val="008F1DB6"/>
    <w:rsid w:val="008F295C"/>
    <w:rsid w:val="008F2B7D"/>
    <w:rsid w:val="008F3467"/>
    <w:rsid w:val="008F4D92"/>
    <w:rsid w:val="008F522B"/>
    <w:rsid w:val="008F5F3E"/>
    <w:rsid w:val="008F623D"/>
    <w:rsid w:val="008F7117"/>
    <w:rsid w:val="008F78E2"/>
    <w:rsid w:val="0090038A"/>
    <w:rsid w:val="009010C0"/>
    <w:rsid w:val="00901562"/>
    <w:rsid w:val="009019C5"/>
    <w:rsid w:val="009019D7"/>
    <w:rsid w:val="00902345"/>
    <w:rsid w:val="009025C8"/>
    <w:rsid w:val="00902B70"/>
    <w:rsid w:val="0090350F"/>
    <w:rsid w:val="0090525A"/>
    <w:rsid w:val="009057F7"/>
    <w:rsid w:val="0090589E"/>
    <w:rsid w:val="00905A8A"/>
    <w:rsid w:val="00905CAF"/>
    <w:rsid w:val="00906401"/>
    <w:rsid w:val="00906937"/>
    <w:rsid w:val="00910618"/>
    <w:rsid w:val="00910876"/>
    <w:rsid w:val="00910DFC"/>
    <w:rsid w:val="00910FBA"/>
    <w:rsid w:val="009113EA"/>
    <w:rsid w:val="0091175C"/>
    <w:rsid w:val="00911DF1"/>
    <w:rsid w:val="00912E9B"/>
    <w:rsid w:val="0091339E"/>
    <w:rsid w:val="00914853"/>
    <w:rsid w:val="00914D49"/>
    <w:rsid w:val="0091550E"/>
    <w:rsid w:val="00915F67"/>
    <w:rsid w:val="00920041"/>
    <w:rsid w:val="00920223"/>
    <w:rsid w:val="009202AB"/>
    <w:rsid w:val="00920B99"/>
    <w:rsid w:val="009210B7"/>
    <w:rsid w:val="00922087"/>
    <w:rsid w:val="009220DE"/>
    <w:rsid w:val="00922873"/>
    <w:rsid w:val="00923E33"/>
    <w:rsid w:val="009241D2"/>
    <w:rsid w:val="00925355"/>
    <w:rsid w:val="00926067"/>
    <w:rsid w:val="00926463"/>
    <w:rsid w:val="009265B0"/>
    <w:rsid w:val="00926ADF"/>
    <w:rsid w:val="00926BB6"/>
    <w:rsid w:val="00930307"/>
    <w:rsid w:val="00930349"/>
    <w:rsid w:val="00930564"/>
    <w:rsid w:val="009306F2"/>
    <w:rsid w:val="00930E55"/>
    <w:rsid w:val="0093129A"/>
    <w:rsid w:val="0093157A"/>
    <w:rsid w:val="0093225D"/>
    <w:rsid w:val="00932F61"/>
    <w:rsid w:val="00933928"/>
    <w:rsid w:val="009350AA"/>
    <w:rsid w:val="00935252"/>
    <w:rsid w:val="009353C0"/>
    <w:rsid w:val="00935608"/>
    <w:rsid w:val="00935F31"/>
    <w:rsid w:val="00936686"/>
    <w:rsid w:val="00936A07"/>
    <w:rsid w:val="00936BDD"/>
    <w:rsid w:val="009378A0"/>
    <w:rsid w:val="009403DE"/>
    <w:rsid w:val="00940C96"/>
    <w:rsid w:val="00940F25"/>
    <w:rsid w:val="00941B00"/>
    <w:rsid w:val="00941BDD"/>
    <w:rsid w:val="009423B0"/>
    <w:rsid w:val="00943667"/>
    <w:rsid w:val="00943A30"/>
    <w:rsid w:val="00944001"/>
    <w:rsid w:val="0094418C"/>
    <w:rsid w:val="00945497"/>
    <w:rsid w:val="00945AC2"/>
    <w:rsid w:val="0094678E"/>
    <w:rsid w:val="00946AB1"/>
    <w:rsid w:val="00946FDC"/>
    <w:rsid w:val="009517FC"/>
    <w:rsid w:val="00951BF9"/>
    <w:rsid w:val="00951E1E"/>
    <w:rsid w:val="009525D4"/>
    <w:rsid w:val="00952C7A"/>
    <w:rsid w:val="00952EB9"/>
    <w:rsid w:val="009530E3"/>
    <w:rsid w:val="0095358D"/>
    <w:rsid w:val="009538F9"/>
    <w:rsid w:val="00953E91"/>
    <w:rsid w:val="0095586A"/>
    <w:rsid w:val="00956982"/>
    <w:rsid w:val="00956E5D"/>
    <w:rsid w:val="009571F7"/>
    <w:rsid w:val="00960186"/>
    <w:rsid w:val="009603B5"/>
    <w:rsid w:val="0096184F"/>
    <w:rsid w:val="00961AB8"/>
    <w:rsid w:val="009620DF"/>
    <w:rsid w:val="00962984"/>
    <w:rsid w:val="00962D3A"/>
    <w:rsid w:val="009663D8"/>
    <w:rsid w:val="0096661F"/>
    <w:rsid w:val="00966B34"/>
    <w:rsid w:val="009672D3"/>
    <w:rsid w:val="0097000A"/>
    <w:rsid w:val="00970134"/>
    <w:rsid w:val="009701E4"/>
    <w:rsid w:val="009705DF"/>
    <w:rsid w:val="00970BCF"/>
    <w:rsid w:val="00971329"/>
    <w:rsid w:val="00973278"/>
    <w:rsid w:val="009732BF"/>
    <w:rsid w:val="009748E2"/>
    <w:rsid w:val="009749FC"/>
    <w:rsid w:val="00974E9E"/>
    <w:rsid w:val="00975F29"/>
    <w:rsid w:val="009771A2"/>
    <w:rsid w:val="00977748"/>
    <w:rsid w:val="00977CDE"/>
    <w:rsid w:val="00981511"/>
    <w:rsid w:val="00981C19"/>
    <w:rsid w:val="009823CE"/>
    <w:rsid w:val="009823F9"/>
    <w:rsid w:val="00982F4E"/>
    <w:rsid w:val="00983378"/>
    <w:rsid w:val="00983907"/>
    <w:rsid w:val="0098391D"/>
    <w:rsid w:val="00983DFF"/>
    <w:rsid w:val="00984679"/>
    <w:rsid w:val="00985253"/>
    <w:rsid w:val="009855E3"/>
    <w:rsid w:val="00985BA2"/>
    <w:rsid w:val="00986808"/>
    <w:rsid w:val="0098745E"/>
    <w:rsid w:val="00987D3A"/>
    <w:rsid w:val="0099034D"/>
    <w:rsid w:val="0099057F"/>
    <w:rsid w:val="009912ED"/>
    <w:rsid w:val="009919B8"/>
    <w:rsid w:val="00991C68"/>
    <w:rsid w:val="0099403E"/>
    <w:rsid w:val="00994894"/>
    <w:rsid w:val="00994C0A"/>
    <w:rsid w:val="00994C38"/>
    <w:rsid w:val="00994E76"/>
    <w:rsid w:val="00995CB3"/>
    <w:rsid w:val="00995F3A"/>
    <w:rsid w:val="00997A77"/>
    <w:rsid w:val="009A00C1"/>
    <w:rsid w:val="009A1235"/>
    <w:rsid w:val="009A135D"/>
    <w:rsid w:val="009A13D9"/>
    <w:rsid w:val="009A1D31"/>
    <w:rsid w:val="009A1EA4"/>
    <w:rsid w:val="009A3820"/>
    <w:rsid w:val="009A3E8D"/>
    <w:rsid w:val="009A3F68"/>
    <w:rsid w:val="009A59F1"/>
    <w:rsid w:val="009A5D23"/>
    <w:rsid w:val="009A5D4F"/>
    <w:rsid w:val="009A5F41"/>
    <w:rsid w:val="009A661E"/>
    <w:rsid w:val="009A7E77"/>
    <w:rsid w:val="009B019A"/>
    <w:rsid w:val="009B0EB2"/>
    <w:rsid w:val="009B14E0"/>
    <w:rsid w:val="009B18DB"/>
    <w:rsid w:val="009B24B5"/>
    <w:rsid w:val="009B300E"/>
    <w:rsid w:val="009B367B"/>
    <w:rsid w:val="009B42E3"/>
    <w:rsid w:val="009B447D"/>
    <w:rsid w:val="009B4821"/>
    <w:rsid w:val="009B4A8E"/>
    <w:rsid w:val="009B61D6"/>
    <w:rsid w:val="009B74BD"/>
    <w:rsid w:val="009B7534"/>
    <w:rsid w:val="009C0B8B"/>
    <w:rsid w:val="009C0DC5"/>
    <w:rsid w:val="009C1482"/>
    <w:rsid w:val="009C22F5"/>
    <w:rsid w:val="009C2AAE"/>
    <w:rsid w:val="009C3483"/>
    <w:rsid w:val="009C3536"/>
    <w:rsid w:val="009C3C70"/>
    <w:rsid w:val="009C3E61"/>
    <w:rsid w:val="009C3F69"/>
    <w:rsid w:val="009C4B96"/>
    <w:rsid w:val="009C67F0"/>
    <w:rsid w:val="009C6CAE"/>
    <w:rsid w:val="009D05B5"/>
    <w:rsid w:val="009D0AD4"/>
    <w:rsid w:val="009D1032"/>
    <w:rsid w:val="009D1129"/>
    <w:rsid w:val="009D16B8"/>
    <w:rsid w:val="009D1D75"/>
    <w:rsid w:val="009D2AE4"/>
    <w:rsid w:val="009D3F1E"/>
    <w:rsid w:val="009D44CC"/>
    <w:rsid w:val="009D4F7F"/>
    <w:rsid w:val="009D65B5"/>
    <w:rsid w:val="009D67EF"/>
    <w:rsid w:val="009D7F2C"/>
    <w:rsid w:val="009D7F6F"/>
    <w:rsid w:val="009E0BAD"/>
    <w:rsid w:val="009E1287"/>
    <w:rsid w:val="009E2FF1"/>
    <w:rsid w:val="009E35DB"/>
    <w:rsid w:val="009E40B2"/>
    <w:rsid w:val="009E42C0"/>
    <w:rsid w:val="009E4EAF"/>
    <w:rsid w:val="009E4EDF"/>
    <w:rsid w:val="009E516B"/>
    <w:rsid w:val="009E51DE"/>
    <w:rsid w:val="009E5211"/>
    <w:rsid w:val="009E6948"/>
    <w:rsid w:val="009E6B85"/>
    <w:rsid w:val="009E6F52"/>
    <w:rsid w:val="009F0BAC"/>
    <w:rsid w:val="009F0CBB"/>
    <w:rsid w:val="009F0D66"/>
    <w:rsid w:val="009F10E9"/>
    <w:rsid w:val="009F187C"/>
    <w:rsid w:val="009F3920"/>
    <w:rsid w:val="009F41B4"/>
    <w:rsid w:val="009F4273"/>
    <w:rsid w:val="009F4980"/>
    <w:rsid w:val="009F5238"/>
    <w:rsid w:val="009F57CA"/>
    <w:rsid w:val="009F6840"/>
    <w:rsid w:val="009F716A"/>
    <w:rsid w:val="009F7850"/>
    <w:rsid w:val="009F7FDD"/>
    <w:rsid w:val="00A0007A"/>
    <w:rsid w:val="00A00B0D"/>
    <w:rsid w:val="00A00D58"/>
    <w:rsid w:val="00A00F66"/>
    <w:rsid w:val="00A01D98"/>
    <w:rsid w:val="00A01E4C"/>
    <w:rsid w:val="00A03173"/>
    <w:rsid w:val="00A03D5A"/>
    <w:rsid w:val="00A06C7F"/>
    <w:rsid w:val="00A06F8B"/>
    <w:rsid w:val="00A0706C"/>
    <w:rsid w:val="00A07126"/>
    <w:rsid w:val="00A071EE"/>
    <w:rsid w:val="00A075FE"/>
    <w:rsid w:val="00A07B07"/>
    <w:rsid w:val="00A10DEB"/>
    <w:rsid w:val="00A112A0"/>
    <w:rsid w:val="00A1241C"/>
    <w:rsid w:val="00A126E5"/>
    <w:rsid w:val="00A1324D"/>
    <w:rsid w:val="00A13414"/>
    <w:rsid w:val="00A13F82"/>
    <w:rsid w:val="00A13FBD"/>
    <w:rsid w:val="00A14453"/>
    <w:rsid w:val="00A15051"/>
    <w:rsid w:val="00A164C7"/>
    <w:rsid w:val="00A16663"/>
    <w:rsid w:val="00A16B07"/>
    <w:rsid w:val="00A20E55"/>
    <w:rsid w:val="00A21966"/>
    <w:rsid w:val="00A21F38"/>
    <w:rsid w:val="00A22275"/>
    <w:rsid w:val="00A22808"/>
    <w:rsid w:val="00A22B8B"/>
    <w:rsid w:val="00A26CA3"/>
    <w:rsid w:val="00A26D06"/>
    <w:rsid w:val="00A26DC1"/>
    <w:rsid w:val="00A2770D"/>
    <w:rsid w:val="00A278EA"/>
    <w:rsid w:val="00A27B29"/>
    <w:rsid w:val="00A3002B"/>
    <w:rsid w:val="00A3031B"/>
    <w:rsid w:val="00A31085"/>
    <w:rsid w:val="00A31FB7"/>
    <w:rsid w:val="00A3295D"/>
    <w:rsid w:val="00A33D78"/>
    <w:rsid w:val="00A3784A"/>
    <w:rsid w:val="00A40561"/>
    <w:rsid w:val="00A40805"/>
    <w:rsid w:val="00A41254"/>
    <w:rsid w:val="00A41314"/>
    <w:rsid w:val="00A415C7"/>
    <w:rsid w:val="00A41E3E"/>
    <w:rsid w:val="00A4231F"/>
    <w:rsid w:val="00A427FF"/>
    <w:rsid w:val="00A42E29"/>
    <w:rsid w:val="00A430D9"/>
    <w:rsid w:val="00A43F30"/>
    <w:rsid w:val="00A4421B"/>
    <w:rsid w:val="00A44D20"/>
    <w:rsid w:val="00A453BA"/>
    <w:rsid w:val="00A47337"/>
    <w:rsid w:val="00A475C6"/>
    <w:rsid w:val="00A478CE"/>
    <w:rsid w:val="00A47B24"/>
    <w:rsid w:val="00A50CB2"/>
    <w:rsid w:val="00A514F8"/>
    <w:rsid w:val="00A515AC"/>
    <w:rsid w:val="00A52B3E"/>
    <w:rsid w:val="00A53046"/>
    <w:rsid w:val="00A5377B"/>
    <w:rsid w:val="00A55B1E"/>
    <w:rsid w:val="00A57E73"/>
    <w:rsid w:val="00A6067E"/>
    <w:rsid w:val="00A618D6"/>
    <w:rsid w:val="00A62809"/>
    <w:rsid w:val="00A63E11"/>
    <w:rsid w:val="00A65522"/>
    <w:rsid w:val="00A661BB"/>
    <w:rsid w:val="00A66251"/>
    <w:rsid w:val="00A70BFA"/>
    <w:rsid w:val="00A70D7E"/>
    <w:rsid w:val="00A70F4F"/>
    <w:rsid w:val="00A728DC"/>
    <w:rsid w:val="00A72BC0"/>
    <w:rsid w:val="00A72D50"/>
    <w:rsid w:val="00A72F2F"/>
    <w:rsid w:val="00A73F2B"/>
    <w:rsid w:val="00A7405A"/>
    <w:rsid w:val="00A76823"/>
    <w:rsid w:val="00A77914"/>
    <w:rsid w:val="00A779FA"/>
    <w:rsid w:val="00A80C51"/>
    <w:rsid w:val="00A81B69"/>
    <w:rsid w:val="00A81C4B"/>
    <w:rsid w:val="00A84A9E"/>
    <w:rsid w:val="00A850D8"/>
    <w:rsid w:val="00A85F84"/>
    <w:rsid w:val="00A901C7"/>
    <w:rsid w:val="00A90791"/>
    <w:rsid w:val="00A90F79"/>
    <w:rsid w:val="00A91BE1"/>
    <w:rsid w:val="00A91BF5"/>
    <w:rsid w:val="00A920CF"/>
    <w:rsid w:val="00A939AF"/>
    <w:rsid w:val="00A94C6B"/>
    <w:rsid w:val="00A95A77"/>
    <w:rsid w:val="00A95A9E"/>
    <w:rsid w:val="00A95D55"/>
    <w:rsid w:val="00A96EFD"/>
    <w:rsid w:val="00A97A3F"/>
    <w:rsid w:val="00AA0138"/>
    <w:rsid w:val="00AA01AF"/>
    <w:rsid w:val="00AA04E0"/>
    <w:rsid w:val="00AA1051"/>
    <w:rsid w:val="00AA120E"/>
    <w:rsid w:val="00AA14C8"/>
    <w:rsid w:val="00AA18FE"/>
    <w:rsid w:val="00AA1A64"/>
    <w:rsid w:val="00AA25CC"/>
    <w:rsid w:val="00AA276C"/>
    <w:rsid w:val="00AA2F30"/>
    <w:rsid w:val="00AA312D"/>
    <w:rsid w:val="00AA33FB"/>
    <w:rsid w:val="00AA3E01"/>
    <w:rsid w:val="00AA46DA"/>
    <w:rsid w:val="00AA5372"/>
    <w:rsid w:val="00AA57CD"/>
    <w:rsid w:val="00AA6036"/>
    <w:rsid w:val="00AA703F"/>
    <w:rsid w:val="00AA74F8"/>
    <w:rsid w:val="00AB059D"/>
    <w:rsid w:val="00AB0CB8"/>
    <w:rsid w:val="00AB1119"/>
    <w:rsid w:val="00AB177B"/>
    <w:rsid w:val="00AB306E"/>
    <w:rsid w:val="00AB3376"/>
    <w:rsid w:val="00AB48B0"/>
    <w:rsid w:val="00AB64EE"/>
    <w:rsid w:val="00AB6517"/>
    <w:rsid w:val="00AB6BD1"/>
    <w:rsid w:val="00AB6E77"/>
    <w:rsid w:val="00AB7BB1"/>
    <w:rsid w:val="00AC0BD3"/>
    <w:rsid w:val="00AC127E"/>
    <w:rsid w:val="00AC1B68"/>
    <w:rsid w:val="00AC1F6D"/>
    <w:rsid w:val="00AC2F6C"/>
    <w:rsid w:val="00AC419B"/>
    <w:rsid w:val="00AC47D2"/>
    <w:rsid w:val="00AC53F2"/>
    <w:rsid w:val="00AC5ADD"/>
    <w:rsid w:val="00AC5C4E"/>
    <w:rsid w:val="00AC6B7F"/>
    <w:rsid w:val="00AC6F0B"/>
    <w:rsid w:val="00AC74A7"/>
    <w:rsid w:val="00AC7D15"/>
    <w:rsid w:val="00AC7E57"/>
    <w:rsid w:val="00AC7FFC"/>
    <w:rsid w:val="00AD01E2"/>
    <w:rsid w:val="00AD109C"/>
    <w:rsid w:val="00AD16FB"/>
    <w:rsid w:val="00AD4A50"/>
    <w:rsid w:val="00AD5787"/>
    <w:rsid w:val="00AD5835"/>
    <w:rsid w:val="00AD7CD7"/>
    <w:rsid w:val="00AE0210"/>
    <w:rsid w:val="00AE0DB8"/>
    <w:rsid w:val="00AE169F"/>
    <w:rsid w:val="00AE21FB"/>
    <w:rsid w:val="00AE2285"/>
    <w:rsid w:val="00AE357F"/>
    <w:rsid w:val="00AE3E11"/>
    <w:rsid w:val="00AE515D"/>
    <w:rsid w:val="00AE55D6"/>
    <w:rsid w:val="00AE6520"/>
    <w:rsid w:val="00AE6D35"/>
    <w:rsid w:val="00AE6DE7"/>
    <w:rsid w:val="00AE76BD"/>
    <w:rsid w:val="00AE7D33"/>
    <w:rsid w:val="00AF0E85"/>
    <w:rsid w:val="00AF15D4"/>
    <w:rsid w:val="00AF1B98"/>
    <w:rsid w:val="00AF1CEB"/>
    <w:rsid w:val="00AF24FF"/>
    <w:rsid w:val="00AF2D4A"/>
    <w:rsid w:val="00AF3032"/>
    <w:rsid w:val="00AF36E9"/>
    <w:rsid w:val="00AF3791"/>
    <w:rsid w:val="00AF3ADC"/>
    <w:rsid w:val="00AF43EE"/>
    <w:rsid w:val="00AF4887"/>
    <w:rsid w:val="00AF4C2C"/>
    <w:rsid w:val="00AF512D"/>
    <w:rsid w:val="00AF56AC"/>
    <w:rsid w:val="00AF6929"/>
    <w:rsid w:val="00AF69B7"/>
    <w:rsid w:val="00AF7833"/>
    <w:rsid w:val="00AF7F4F"/>
    <w:rsid w:val="00B007DD"/>
    <w:rsid w:val="00B008DC"/>
    <w:rsid w:val="00B00D61"/>
    <w:rsid w:val="00B0157C"/>
    <w:rsid w:val="00B016B1"/>
    <w:rsid w:val="00B02BF6"/>
    <w:rsid w:val="00B02D82"/>
    <w:rsid w:val="00B035F2"/>
    <w:rsid w:val="00B03D7D"/>
    <w:rsid w:val="00B04261"/>
    <w:rsid w:val="00B044CE"/>
    <w:rsid w:val="00B04596"/>
    <w:rsid w:val="00B04D01"/>
    <w:rsid w:val="00B0503D"/>
    <w:rsid w:val="00B054DA"/>
    <w:rsid w:val="00B057EA"/>
    <w:rsid w:val="00B05E7B"/>
    <w:rsid w:val="00B06C5C"/>
    <w:rsid w:val="00B06E35"/>
    <w:rsid w:val="00B07D15"/>
    <w:rsid w:val="00B07D71"/>
    <w:rsid w:val="00B105C5"/>
    <w:rsid w:val="00B12B70"/>
    <w:rsid w:val="00B1375A"/>
    <w:rsid w:val="00B13E18"/>
    <w:rsid w:val="00B13F46"/>
    <w:rsid w:val="00B14396"/>
    <w:rsid w:val="00B1486A"/>
    <w:rsid w:val="00B148DC"/>
    <w:rsid w:val="00B148E4"/>
    <w:rsid w:val="00B15011"/>
    <w:rsid w:val="00B153D7"/>
    <w:rsid w:val="00B157B0"/>
    <w:rsid w:val="00B168CA"/>
    <w:rsid w:val="00B16EFE"/>
    <w:rsid w:val="00B176CC"/>
    <w:rsid w:val="00B17719"/>
    <w:rsid w:val="00B20CA9"/>
    <w:rsid w:val="00B20CCE"/>
    <w:rsid w:val="00B20CD2"/>
    <w:rsid w:val="00B20E39"/>
    <w:rsid w:val="00B214AD"/>
    <w:rsid w:val="00B21F26"/>
    <w:rsid w:val="00B22005"/>
    <w:rsid w:val="00B23FA8"/>
    <w:rsid w:val="00B2437C"/>
    <w:rsid w:val="00B24E07"/>
    <w:rsid w:val="00B2529F"/>
    <w:rsid w:val="00B25D0F"/>
    <w:rsid w:val="00B263AE"/>
    <w:rsid w:val="00B2659B"/>
    <w:rsid w:val="00B27834"/>
    <w:rsid w:val="00B278F9"/>
    <w:rsid w:val="00B27F10"/>
    <w:rsid w:val="00B31FCD"/>
    <w:rsid w:val="00B322BB"/>
    <w:rsid w:val="00B3354D"/>
    <w:rsid w:val="00B33943"/>
    <w:rsid w:val="00B33DF2"/>
    <w:rsid w:val="00B340ED"/>
    <w:rsid w:val="00B341C3"/>
    <w:rsid w:val="00B34AC8"/>
    <w:rsid w:val="00B35371"/>
    <w:rsid w:val="00B369E9"/>
    <w:rsid w:val="00B375BF"/>
    <w:rsid w:val="00B403DF"/>
    <w:rsid w:val="00B4057E"/>
    <w:rsid w:val="00B407FE"/>
    <w:rsid w:val="00B42B15"/>
    <w:rsid w:val="00B42E13"/>
    <w:rsid w:val="00B43DD1"/>
    <w:rsid w:val="00B43E91"/>
    <w:rsid w:val="00B44A00"/>
    <w:rsid w:val="00B44BD8"/>
    <w:rsid w:val="00B44F81"/>
    <w:rsid w:val="00B45816"/>
    <w:rsid w:val="00B466F2"/>
    <w:rsid w:val="00B471C8"/>
    <w:rsid w:val="00B4739F"/>
    <w:rsid w:val="00B47897"/>
    <w:rsid w:val="00B50212"/>
    <w:rsid w:val="00B5046C"/>
    <w:rsid w:val="00B51AD2"/>
    <w:rsid w:val="00B51EC2"/>
    <w:rsid w:val="00B51F75"/>
    <w:rsid w:val="00B5335F"/>
    <w:rsid w:val="00B540D0"/>
    <w:rsid w:val="00B55909"/>
    <w:rsid w:val="00B5611E"/>
    <w:rsid w:val="00B561A3"/>
    <w:rsid w:val="00B5663C"/>
    <w:rsid w:val="00B5686A"/>
    <w:rsid w:val="00B57201"/>
    <w:rsid w:val="00B57C8E"/>
    <w:rsid w:val="00B57CC2"/>
    <w:rsid w:val="00B60AF8"/>
    <w:rsid w:val="00B611DE"/>
    <w:rsid w:val="00B612F2"/>
    <w:rsid w:val="00B619D3"/>
    <w:rsid w:val="00B625B0"/>
    <w:rsid w:val="00B62AEA"/>
    <w:rsid w:val="00B63AE2"/>
    <w:rsid w:val="00B64C1A"/>
    <w:rsid w:val="00B64E9C"/>
    <w:rsid w:val="00B661BE"/>
    <w:rsid w:val="00B66702"/>
    <w:rsid w:val="00B66A67"/>
    <w:rsid w:val="00B66E74"/>
    <w:rsid w:val="00B67726"/>
    <w:rsid w:val="00B67EAA"/>
    <w:rsid w:val="00B7083A"/>
    <w:rsid w:val="00B71A8F"/>
    <w:rsid w:val="00B736C0"/>
    <w:rsid w:val="00B73ABB"/>
    <w:rsid w:val="00B73F37"/>
    <w:rsid w:val="00B74A55"/>
    <w:rsid w:val="00B75029"/>
    <w:rsid w:val="00B756BE"/>
    <w:rsid w:val="00B75726"/>
    <w:rsid w:val="00B75C50"/>
    <w:rsid w:val="00B75E28"/>
    <w:rsid w:val="00B766EC"/>
    <w:rsid w:val="00B77A0B"/>
    <w:rsid w:val="00B80371"/>
    <w:rsid w:val="00B80F8B"/>
    <w:rsid w:val="00B81368"/>
    <w:rsid w:val="00B81BE5"/>
    <w:rsid w:val="00B82C07"/>
    <w:rsid w:val="00B833BB"/>
    <w:rsid w:val="00B8386F"/>
    <w:rsid w:val="00B83C7A"/>
    <w:rsid w:val="00B83D72"/>
    <w:rsid w:val="00B86B99"/>
    <w:rsid w:val="00B877C3"/>
    <w:rsid w:val="00B8780B"/>
    <w:rsid w:val="00B879BB"/>
    <w:rsid w:val="00B901EE"/>
    <w:rsid w:val="00B90419"/>
    <w:rsid w:val="00B90BE1"/>
    <w:rsid w:val="00B928F9"/>
    <w:rsid w:val="00B934EB"/>
    <w:rsid w:val="00B94117"/>
    <w:rsid w:val="00B962B3"/>
    <w:rsid w:val="00B96C23"/>
    <w:rsid w:val="00B96E7C"/>
    <w:rsid w:val="00B97117"/>
    <w:rsid w:val="00B973A3"/>
    <w:rsid w:val="00B97518"/>
    <w:rsid w:val="00BA039D"/>
    <w:rsid w:val="00BA0E31"/>
    <w:rsid w:val="00BA19A6"/>
    <w:rsid w:val="00BA2411"/>
    <w:rsid w:val="00BA2478"/>
    <w:rsid w:val="00BA3029"/>
    <w:rsid w:val="00BA3EF6"/>
    <w:rsid w:val="00BA43C0"/>
    <w:rsid w:val="00BA5FAF"/>
    <w:rsid w:val="00BA609A"/>
    <w:rsid w:val="00BA7194"/>
    <w:rsid w:val="00BA78D4"/>
    <w:rsid w:val="00BB0754"/>
    <w:rsid w:val="00BB0C67"/>
    <w:rsid w:val="00BB0E1A"/>
    <w:rsid w:val="00BB16F6"/>
    <w:rsid w:val="00BB1F02"/>
    <w:rsid w:val="00BB2087"/>
    <w:rsid w:val="00BB2BFC"/>
    <w:rsid w:val="00BB3152"/>
    <w:rsid w:val="00BB33F0"/>
    <w:rsid w:val="00BB3451"/>
    <w:rsid w:val="00BB3C58"/>
    <w:rsid w:val="00BB4E1E"/>
    <w:rsid w:val="00BB5866"/>
    <w:rsid w:val="00BC00B3"/>
    <w:rsid w:val="00BC02E5"/>
    <w:rsid w:val="00BC04FF"/>
    <w:rsid w:val="00BC0A25"/>
    <w:rsid w:val="00BC0F79"/>
    <w:rsid w:val="00BC1692"/>
    <w:rsid w:val="00BC1B99"/>
    <w:rsid w:val="00BC20A5"/>
    <w:rsid w:val="00BC2A05"/>
    <w:rsid w:val="00BC2CA6"/>
    <w:rsid w:val="00BC323E"/>
    <w:rsid w:val="00BC3421"/>
    <w:rsid w:val="00BC3A78"/>
    <w:rsid w:val="00BC3B03"/>
    <w:rsid w:val="00BC3EC1"/>
    <w:rsid w:val="00BC46AA"/>
    <w:rsid w:val="00BC4EC3"/>
    <w:rsid w:val="00BC54DC"/>
    <w:rsid w:val="00BC55A6"/>
    <w:rsid w:val="00BC5B22"/>
    <w:rsid w:val="00BC5BCD"/>
    <w:rsid w:val="00BC6403"/>
    <w:rsid w:val="00BD16F4"/>
    <w:rsid w:val="00BD1D68"/>
    <w:rsid w:val="00BD21AD"/>
    <w:rsid w:val="00BD3F26"/>
    <w:rsid w:val="00BD482C"/>
    <w:rsid w:val="00BD6D0C"/>
    <w:rsid w:val="00BD6FEA"/>
    <w:rsid w:val="00BD723C"/>
    <w:rsid w:val="00BD7651"/>
    <w:rsid w:val="00BD7704"/>
    <w:rsid w:val="00BD781C"/>
    <w:rsid w:val="00BE06E1"/>
    <w:rsid w:val="00BE11AD"/>
    <w:rsid w:val="00BE1F47"/>
    <w:rsid w:val="00BE20A7"/>
    <w:rsid w:val="00BE2B06"/>
    <w:rsid w:val="00BE32EE"/>
    <w:rsid w:val="00BE3643"/>
    <w:rsid w:val="00BE36AE"/>
    <w:rsid w:val="00BE384D"/>
    <w:rsid w:val="00BE38B9"/>
    <w:rsid w:val="00BE5113"/>
    <w:rsid w:val="00BE7616"/>
    <w:rsid w:val="00BE77DC"/>
    <w:rsid w:val="00BF0448"/>
    <w:rsid w:val="00BF05EC"/>
    <w:rsid w:val="00BF075A"/>
    <w:rsid w:val="00BF1661"/>
    <w:rsid w:val="00BF17B8"/>
    <w:rsid w:val="00BF2861"/>
    <w:rsid w:val="00BF2B8D"/>
    <w:rsid w:val="00BF3B9D"/>
    <w:rsid w:val="00BF3F8F"/>
    <w:rsid w:val="00BF4397"/>
    <w:rsid w:val="00BF45EE"/>
    <w:rsid w:val="00BF531F"/>
    <w:rsid w:val="00BF57E3"/>
    <w:rsid w:val="00BF5A56"/>
    <w:rsid w:val="00BF5F6A"/>
    <w:rsid w:val="00BF67D1"/>
    <w:rsid w:val="00BF6956"/>
    <w:rsid w:val="00BF6BD5"/>
    <w:rsid w:val="00BF733A"/>
    <w:rsid w:val="00BF74CB"/>
    <w:rsid w:val="00C00C5B"/>
    <w:rsid w:val="00C016F9"/>
    <w:rsid w:val="00C024C4"/>
    <w:rsid w:val="00C02F20"/>
    <w:rsid w:val="00C03A3F"/>
    <w:rsid w:val="00C04196"/>
    <w:rsid w:val="00C04F9F"/>
    <w:rsid w:val="00C055CD"/>
    <w:rsid w:val="00C0630B"/>
    <w:rsid w:val="00C07C60"/>
    <w:rsid w:val="00C123AE"/>
    <w:rsid w:val="00C123EC"/>
    <w:rsid w:val="00C124D5"/>
    <w:rsid w:val="00C12E14"/>
    <w:rsid w:val="00C133E3"/>
    <w:rsid w:val="00C13E8B"/>
    <w:rsid w:val="00C14385"/>
    <w:rsid w:val="00C1656E"/>
    <w:rsid w:val="00C17A1B"/>
    <w:rsid w:val="00C17FDC"/>
    <w:rsid w:val="00C20787"/>
    <w:rsid w:val="00C20C12"/>
    <w:rsid w:val="00C20EF1"/>
    <w:rsid w:val="00C21B4F"/>
    <w:rsid w:val="00C226C1"/>
    <w:rsid w:val="00C22A24"/>
    <w:rsid w:val="00C23445"/>
    <w:rsid w:val="00C23A14"/>
    <w:rsid w:val="00C2488C"/>
    <w:rsid w:val="00C25096"/>
    <w:rsid w:val="00C250F1"/>
    <w:rsid w:val="00C25F0C"/>
    <w:rsid w:val="00C25F74"/>
    <w:rsid w:val="00C25F77"/>
    <w:rsid w:val="00C27637"/>
    <w:rsid w:val="00C309A8"/>
    <w:rsid w:val="00C30E61"/>
    <w:rsid w:val="00C315E2"/>
    <w:rsid w:val="00C31B22"/>
    <w:rsid w:val="00C31F5B"/>
    <w:rsid w:val="00C333CB"/>
    <w:rsid w:val="00C33AE0"/>
    <w:rsid w:val="00C343C5"/>
    <w:rsid w:val="00C34F54"/>
    <w:rsid w:val="00C365BF"/>
    <w:rsid w:val="00C37655"/>
    <w:rsid w:val="00C37C65"/>
    <w:rsid w:val="00C411DF"/>
    <w:rsid w:val="00C42296"/>
    <w:rsid w:val="00C423E0"/>
    <w:rsid w:val="00C429AE"/>
    <w:rsid w:val="00C43F5B"/>
    <w:rsid w:val="00C46DA5"/>
    <w:rsid w:val="00C51D5E"/>
    <w:rsid w:val="00C520CB"/>
    <w:rsid w:val="00C52177"/>
    <w:rsid w:val="00C5305E"/>
    <w:rsid w:val="00C536F0"/>
    <w:rsid w:val="00C53C58"/>
    <w:rsid w:val="00C54111"/>
    <w:rsid w:val="00C54116"/>
    <w:rsid w:val="00C54274"/>
    <w:rsid w:val="00C546C4"/>
    <w:rsid w:val="00C549AB"/>
    <w:rsid w:val="00C56014"/>
    <w:rsid w:val="00C562EE"/>
    <w:rsid w:val="00C569E5"/>
    <w:rsid w:val="00C56F43"/>
    <w:rsid w:val="00C61089"/>
    <w:rsid w:val="00C613C1"/>
    <w:rsid w:val="00C617E7"/>
    <w:rsid w:val="00C6298C"/>
    <w:rsid w:val="00C630B8"/>
    <w:rsid w:val="00C6319C"/>
    <w:rsid w:val="00C64F49"/>
    <w:rsid w:val="00C65494"/>
    <w:rsid w:val="00C663BA"/>
    <w:rsid w:val="00C668B7"/>
    <w:rsid w:val="00C668E1"/>
    <w:rsid w:val="00C66C1C"/>
    <w:rsid w:val="00C7148E"/>
    <w:rsid w:val="00C723E3"/>
    <w:rsid w:val="00C72D82"/>
    <w:rsid w:val="00C72F2A"/>
    <w:rsid w:val="00C7321D"/>
    <w:rsid w:val="00C736DB"/>
    <w:rsid w:val="00C73A72"/>
    <w:rsid w:val="00C74FBB"/>
    <w:rsid w:val="00C75995"/>
    <w:rsid w:val="00C76319"/>
    <w:rsid w:val="00C76E4B"/>
    <w:rsid w:val="00C7746E"/>
    <w:rsid w:val="00C77DD5"/>
    <w:rsid w:val="00C80330"/>
    <w:rsid w:val="00C813CD"/>
    <w:rsid w:val="00C817E9"/>
    <w:rsid w:val="00C81826"/>
    <w:rsid w:val="00C8224A"/>
    <w:rsid w:val="00C82425"/>
    <w:rsid w:val="00C82A43"/>
    <w:rsid w:val="00C83E11"/>
    <w:rsid w:val="00C85B91"/>
    <w:rsid w:val="00C85D3B"/>
    <w:rsid w:val="00C85E89"/>
    <w:rsid w:val="00C85F90"/>
    <w:rsid w:val="00C8631A"/>
    <w:rsid w:val="00C86ECA"/>
    <w:rsid w:val="00C87943"/>
    <w:rsid w:val="00C87B70"/>
    <w:rsid w:val="00C87C86"/>
    <w:rsid w:val="00C87EA6"/>
    <w:rsid w:val="00C87EE3"/>
    <w:rsid w:val="00C9014D"/>
    <w:rsid w:val="00C90A34"/>
    <w:rsid w:val="00C90B29"/>
    <w:rsid w:val="00C917A5"/>
    <w:rsid w:val="00C927E9"/>
    <w:rsid w:val="00C933DA"/>
    <w:rsid w:val="00C93AE7"/>
    <w:rsid w:val="00C94127"/>
    <w:rsid w:val="00C947C2"/>
    <w:rsid w:val="00C95019"/>
    <w:rsid w:val="00C957BF"/>
    <w:rsid w:val="00C95D51"/>
    <w:rsid w:val="00C96118"/>
    <w:rsid w:val="00C9618D"/>
    <w:rsid w:val="00C97595"/>
    <w:rsid w:val="00C97897"/>
    <w:rsid w:val="00C979D1"/>
    <w:rsid w:val="00C97D12"/>
    <w:rsid w:val="00CA1509"/>
    <w:rsid w:val="00CA20DC"/>
    <w:rsid w:val="00CA2181"/>
    <w:rsid w:val="00CA3AB6"/>
    <w:rsid w:val="00CA4794"/>
    <w:rsid w:val="00CA500B"/>
    <w:rsid w:val="00CA5045"/>
    <w:rsid w:val="00CA57B9"/>
    <w:rsid w:val="00CA6B11"/>
    <w:rsid w:val="00CA6B75"/>
    <w:rsid w:val="00CA6E40"/>
    <w:rsid w:val="00CA754A"/>
    <w:rsid w:val="00CA7F3F"/>
    <w:rsid w:val="00CB0397"/>
    <w:rsid w:val="00CB0689"/>
    <w:rsid w:val="00CB19C5"/>
    <w:rsid w:val="00CB1B00"/>
    <w:rsid w:val="00CB27AC"/>
    <w:rsid w:val="00CB2AC7"/>
    <w:rsid w:val="00CB3B2B"/>
    <w:rsid w:val="00CB51D4"/>
    <w:rsid w:val="00CB5256"/>
    <w:rsid w:val="00CB5494"/>
    <w:rsid w:val="00CB6BD5"/>
    <w:rsid w:val="00CB6C87"/>
    <w:rsid w:val="00CB6E50"/>
    <w:rsid w:val="00CB7237"/>
    <w:rsid w:val="00CB7834"/>
    <w:rsid w:val="00CC0046"/>
    <w:rsid w:val="00CC13F3"/>
    <w:rsid w:val="00CC19BD"/>
    <w:rsid w:val="00CC21F4"/>
    <w:rsid w:val="00CC31F9"/>
    <w:rsid w:val="00CC3246"/>
    <w:rsid w:val="00CC3267"/>
    <w:rsid w:val="00CC376E"/>
    <w:rsid w:val="00CC3CDD"/>
    <w:rsid w:val="00CC4F74"/>
    <w:rsid w:val="00CC5036"/>
    <w:rsid w:val="00CC5BC9"/>
    <w:rsid w:val="00CC6B4E"/>
    <w:rsid w:val="00CC70DF"/>
    <w:rsid w:val="00CC7728"/>
    <w:rsid w:val="00CC7E29"/>
    <w:rsid w:val="00CD021E"/>
    <w:rsid w:val="00CD1E4D"/>
    <w:rsid w:val="00CD2884"/>
    <w:rsid w:val="00CD2EC9"/>
    <w:rsid w:val="00CD4FD6"/>
    <w:rsid w:val="00CD6EDF"/>
    <w:rsid w:val="00CD7127"/>
    <w:rsid w:val="00CD72F9"/>
    <w:rsid w:val="00CD7E89"/>
    <w:rsid w:val="00CE077A"/>
    <w:rsid w:val="00CE0C97"/>
    <w:rsid w:val="00CE0DF1"/>
    <w:rsid w:val="00CE13C7"/>
    <w:rsid w:val="00CE1E22"/>
    <w:rsid w:val="00CE1FFF"/>
    <w:rsid w:val="00CE3895"/>
    <w:rsid w:val="00CE3EE7"/>
    <w:rsid w:val="00CE4AEC"/>
    <w:rsid w:val="00CE574B"/>
    <w:rsid w:val="00CE579F"/>
    <w:rsid w:val="00CE60A5"/>
    <w:rsid w:val="00CE6B9F"/>
    <w:rsid w:val="00CF110E"/>
    <w:rsid w:val="00CF2F57"/>
    <w:rsid w:val="00CF3555"/>
    <w:rsid w:val="00CF52F5"/>
    <w:rsid w:val="00CF5A92"/>
    <w:rsid w:val="00CF6079"/>
    <w:rsid w:val="00CF60AA"/>
    <w:rsid w:val="00CF69E8"/>
    <w:rsid w:val="00CF6AB1"/>
    <w:rsid w:val="00CF6C98"/>
    <w:rsid w:val="00CF722C"/>
    <w:rsid w:val="00CF7595"/>
    <w:rsid w:val="00CF781A"/>
    <w:rsid w:val="00CF7E20"/>
    <w:rsid w:val="00CF7EC2"/>
    <w:rsid w:val="00D00865"/>
    <w:rsid w:val="00D009E6"/>
    <w:rsid w:val="00D033E0"/>
    <w:rsid w:val="00D03E25"/>
    <w:rsid w:val="00D04593"/>
    <w:rsid w:val="00D04A58"/>
    <w:rsid w:val="00D0587B"/>
    <w:rsid w:val="00D05A7C"/>
    <w:rsid w:val="00D101D9"/>
    <w:rsid w:val="00D10283"/>
    <w:rsid w:val="00D103CC"/>
    <w:rsid w:val="00D106D0"/>
    <w:rsid w:val="00D10990"/>
    <w:rsid w:val="00D11487"/>
    <w:rsid w:val="00D12333"/>
    <w:rsid w:val="00D12E01"/>
    <w:rsid w:val="00D13E09"/>
    <w:rsid w:val="00D159A8"/>
    <w:rsid w:val="00D15EC7"/>
    <w:rsid w:val="00D17408"/>
    <w:rsid w:val="00D20EAE"/>
    <w:rsid w:val="00D20FBE"/>
    <w:rsid w:val="00D2161D"/>
    <w:rsid w:val="00D22816"/>
    <w:rsid w:val="00D2329C"/>
    <w:rsid w:val="00D23C04"/>
    <w:rsid w:val="00D23D7F"/>
    <w:rsid w:val="00D24323"/>
    <w:rsid w:val="00D24433"/>
    <w:rsid w:val="00D24842"/>
    <w:rsid w:val="00D250F3"/>
    <w:rsid w:val="00D25433"/>
    <w:rsid w:val="00D254AE"/>
    <w:rsid w:val="00D25A8E"/>
    <w:rsid w:val="00D25AF8"/>
    <w:rsid w:val="00D3033B"/>
    <w:rsid w:val="00D312B7"/>
    <w:rsid w:val="00D32FEF"/>
    <w:rsid w:val="00D331C5"/>
    <w:rsid w:val="00D34471"/>
    <w:rsid w:val="00D354A2"/>
    <w:rsid w:val="00D361C5"/>
    <w:rsid w:val="00D3797D"/>
    <w:rsid w:val="00D4077F"/>
    <w:rsid w:val="00D4137A"/>
    <w:rsid w:val="00D41407"/>
    <w:rsid w:val="00D41FBF"/>
    <w:rsid w:val="00D42C99"/>
    <w:rsid w:val="00D42E27"/>
    <w:rsid w:val="00D434D3"/>
    <w:rsid w:val="00D43B02"/>
    <w:rsid w:val="00D43D2A"/>
    <w:rsid w:val="00D4492F"/>
    <w:rsid w:val="00D44D21"/>
    <w:rsid w:val="00D45439"/>
    <w:rsid w:val="00D45DEE"/>
    <w:rsid w:val="00D468FC"/>
    <w:rsid w:val="00D46DAE"/>
    <w:rsid w:val="00D4701F"/>
    <w:rsid w:val="00D4738B"/>
    <w:rsid w:val="00D514AD"/>
    <w:rsid w:val="00D51940"/>
    <w:rsid w:val="00D564BC"/>
    <w:rsid w:val="00D577E3"/>
    <w:rsid w:val="00D5784B"/>
    <w:rsid w:val="00D6041C"/>
    <w:rsid w:val="00D60942"/>
    <w:rsid w:val="00D6187B"/>
    <w:rsid w:val="00D62172"/>
    <w:rsid w:val="00D62445"/>
    <w:rsid w:val="00D62E8A"/>
    <w:rsid w:val="00D6340A"/>
    <w:rsid w:val="00D637AE"/>
    <w:rsid w:val="00D646BE"/>
    <w:rsid w:val="00D65524"/>
    <w:rsid w:val="00D65BFE"/>
    <w:rsid w:val="00D665A3"/>
    <w:rsid w:val="00D67F0E"/>
    <w:rsid w:val="00D70FCD"/>
    <w:rsid w:val="00D713BA"/>
    <w:rsid w:val="00D71656"/>
    <w:rsid w:val="00D72A16"/>
    <w:rsid w:val="00D72D46"/>
    <w:rsid w:val="00D7321D"/>
    <w:rsid w:val="00D733E3"/>
    <w:rsid w:val="00D7456B"/>
    <w:rsid w:val="00D74CBA"/>
    <w:rsid w:val="00D76062"/>
    <w:rsid w:val="00D7755A"/>
    <w:rsid w:val="00D8085F"/>
    <w:rsid w:val="00D80944"/>
    <w:rsid w:val="00D809B8"/>
    <w:rsid w:val="00D80BF0"/>
    <w:rsid w:val="00D81214"/>
    <w:rsid w:val="00D81614"/>
    <w:rsid w:val="00D820AC"/>
    <w:rsid w:val="00D82124"/>
    <w:rsid w:val="00D828DE"/>
    <w:rsid w:val="00D8319D"/>
    <w:rsid w:val="00D84AAE"/>
    <w:rsid w:val="00D84C32"/>
    <w:rsid w:val="00D86F12"/>
    <w:rsid w:val="00D8761A"/>
    <w:rsid w:val="00D87DE1"/>
    <w:rsid w:val="00D91DBD"/>
    <w:rsid w:val="00D922B3"/>
    <w:rsid w:val="00D925B7"/>
    <w:rsid w:val="00D93383"/>
    <w:rsid w:val="00D93434"/>
    <w:rsid w:val="00D93E33"/>
    <w:rsid w:val="00D94A90"/>
    <w:rsid w:val="00D95451"/>
    <w:rsid w:val="00D959F8"/>
    <w:rsid w:val="00D96489"/>
    <w:rsid w:val="00D9648C"/>
    <w:rsid w:val="00D96A1F"/>
    <w:rsid w:val="00D96AC0"/>
    <w:rsid w:val="00DA00E0"/>
    <w:rsid w:val="00DA0216"/>
    <w:rsid w:val="00DA0588"/>
    <w:rsid w:val="00DA14B4"/>
    <w:rsid w:val="00DA2041"/>
    <w:rsid w:val="00DA2959"/>
    <w:rsid w:val="00DA41BC"/>
    <w:rsid w:val="00DA4AA6"/>
    <w:rsid w:val="00DA4C6E"/>
    <w:rsid w:val="00DA5831"/>
    <w:rsid w:val="00DA5ED1"/>
    <w:rsid w:val="00DA5FB1"/>
    <w:rsid w:val="00DA639C"/>
    <w:rsid w:val="00DA6B7E"/>
    <w:rsid w:val="00DA6C19"/>
    <w:rsid w:val="00DA6C2F"/>
    <w:rsid w:val="00DA6E26"/>
    <w:rsid w:val="00DA6E51"/>
    <w:rsid w:val="00DA7967"/>
    <w:rsid w:val="00DB00BC"/>
    <w:rsid w:val="00DB1B61"/>
    <w:rsid w:val="00DB1BB3"/>
    <w:rsid w:val="00DB1EF6"/>
    <w:rsid w:val="00DB2DA2"/>
    <w:rsid w:val="00DB3042"/>
    <w:rsid w:val="00DB3607"/>
    <w:rsid w:val="00DB36F0"/>
    <w:rsid w:val="00DB3F7C"/>
    <w:rsid w:val="00DB540A"/>
    <w:rsid w:val="00DB57D3"/>
    <w:rsid w:val="00DB5D30"/>
    <w:rsid w:val="00DB7A65"/>
    <w:rsid w:val="00DC0015"/>
    <w:rsid w:val="00DC2A9A"/>
    <w:rsid w:val="00DC38E1"/>
    <w:rsid w:val="00DC4331"/>
    <w:rsid w:val="00DC67AF"/>
    <w:rsid w:val="00DC7684"/>
    <w:rsid w:val="00DD0771"/>
    <w:rsid w:val="00DD1825"/>
    <w:rsid w:val="00DD206A"/>
    <w:rsid w:val="00DD30CC"/>
    <w:rsid w:val="00DD3189"/>
    <w:rsid w:val="00DD32FF"/>
    <w:rsid w:val="00DD330F"/>
    <w:rsid w:val="00DD36E1"/>
    <w:rsid w:val="00DD3880"/>
    <w:rsid w:val="00DD3A1C"/>
    <w:rsid w:val="00DD3BCB"/>
    <w:rsid w:val="00DD4397"/>
    <w:rsid w:val="00DD462F"/>
    <w:rsid w:val="00DD53A2"/>
    <w:rsid w:val="00DD6100"/>
    <w:rsid w:val="00DD650F"/>
    <w:rsid w:val="00DD7877"/>
    <w:rsid w:val="00DE01B9"/>
    <w:rsid w:val="00DE0AF9"/>
    <w:rsid w:val="00DE0ECB"/>
    <w:rsid w:val="00DE11CE"/>
    <w:rsid w:val="00DE3409"/>
    <w:rsid w:val="00DE34A2"/>
    <w:rsid w:val="00DE37DE"/>
    <w:rsid w:val="00DE45B9"/>
    <w:rsid w:val="00DE4F48"/>
    <w:rsid w:val="00DE582B"/>
    <w:rsid w:val="00DE5B05"/>
    <w:rsid w:val="00DE63C1"/>
    <w:rsid w:val="00DE6501"/>
    <w:rsid w:val="00DE6BAF"/>
    <w:rsid w:val="00DE6F5E"/>
    <w:rsid w:val="00DE768D"/>
    <w:rsid w:val="00DE7724"/>
    <w:rsid w:val="00DE7E39"/>
    <w:rsid w:val="00DF0188"/>
    <w:rsid w:val="00DF1012"/>
    <w:rsid w:val="00DF13E3"/>
    <w:rsid w:val="00DF1B41"/>
    <w:rsid w:val="00DF3090"/>
    <w:rsid w:val="00DF3D33"/>
    <w:rsid w:val="00DF3DA1"/>
    <w:rsid w:val="00DF4BDE"/>
    <w:rsid w:val="00DF526F"/>
    <w:rsid w:val="00DF5B13"/>
    <w:rsid w:val="00DF6B45"/>
    <w:rsid w:val="00DF6E24"/>
    <w:rsid w:val="00DF7567"/>
    <w:rsid w:val="00E000BA"/>
    <w:rsid w:val="00E00C7E"/>
    <w:rsid w:val="00E01449"/>
    <w:rsid w:val="00E01600"/>
    <w:rsid w:val="00E024E9"/>
    <w:rsid w:val="00E02BAB"/>
    <w:rsid w:val="00E03383"/>
    <w:rsid w:val="00E03464"/>
    <w:rsid w:val="00E036AA"/>
    <w:rsid w:val="00E03E60"/>
    <w:rsid w:val="00E04978"/>
    <w:rsid w:val="00E05D88"/>
    <w:rsid w:val="00E11271"/>
    <w:rsid w:val="00E11FBA"/>
    <w:rsid w:val="00E11FF7"/>
    <w:rsid w:val="00E1209B"/>
    <w:rsid w:val="00E12600"/>
    <w:rsid w:val="00E13767"/>
    <w:rsid w:val="00E1420A"/>
    <w:rsid w:val="00E14359"/>
    <w:rsid w:val="00E144C4"/>
    <w:rsid w:val="00E1494C"/>
    <w:rsid w:val="00E14B8F"/>
    <w:rsid w:val="00E15D0B"/>
    <w:rsid w:val="00E15DFE"/>
    <w:rsid w:val="00E165FF"/>
    <w:rsid w:val="00E16BAA"/>
    <w:rsid w:val="00E16E81"/>
    <w:rsid w:val="00E177DD"/>
    <w:rsid w:val="00E179F0"/>
    <w:rsid w:val="00E20178"/>
    <w:rsid w:val="00E20F48"/>
    <w:rsid w:val="00E2151F"/>
    <w:rsid w:val="00E21892"/>
    <w:rsid w:val="00E22E89"/>
    <w:rsid w:val="00E2318C"/>
    <w:rsid w:val="00E2328F"/>
    <w:rsid w:val="00E23AA8"/>
    <w:rsid w:val="00E24757"/>
    <w:rsid w:val="00E24CFB"/>
    <w:rsid w:val="00E250B2"/>
    <w:rsid w:val="00E2619D"/>
    <w:rsid w:val="00E26578"/>
    <w:rsid w:val="00E26CC1"/>
    <w:rsid w:val="00E26DF7"/>
    <w:rsid w:val="00E27123"/>
    <w:rsid w:val="00E271CA"/>
    <w:rsid w:val="00E277FD"/>
    <w:rsid w:val="00E27C50"/>
    <w:rsid w:val="00E30034"/>
    <w:rsid w:val="00E306F8"/>
    <w:rsid w:val="00E30CCE"/>
    <w:rsid w:val="00E30F1D"/>
    <w:rsid w:val="00E31CE7"/>
    <w:rsid w:val="00E32A02"/>
    <w:rsid w:val="00E33385"/>
    <w:rsid w:val="00E337E7"/>
    <w:rsid w:val="00E3445E"/>
    <w:rsid w:val="00E34F35"/>
    <w:rsid w:val="00E359F7"/>
    <w:rsid w:val="00E365C4"/>
    <w:rsid w:val="00E376E1"/>
    <w:rsid w:val="00E37FDA"/>
    <w:rsid w:val="00E4061D"/>
    <w:rsid w:val="00E4181C"/>
    <w:rsid w:val="00E42419"/>
    <w:rsid w:val="00E42B91"/>
    <w:rsid w:val="00E44116"/>
    <w:rsid w:val="00E443FC"/>
    <w:rsid w:val="00E444F4"/>
    <w:rsid w:val="00E447FD"/>
    <w:rsid w:val="00E44F12"/>
    <w:rsid w:val="00E45AC9"/>
    <w:rsid w:val="00E45DD1"/>
    <w:rsid w:val="00E46041"/>
    <w:rsid w:val="00E461AD"/>
    <w:rsid w:val="00E46C49"/>
    <w:rsid w:val="00E47A6F"/>
    <w:rsid w:val="00E5005F"/>
    <w:rsid w:val="00E51AFC"/>
    <w:rsid w:val="00E51BE1"/>
    <w:rsid w:val="00E52656"/>
    <w:rsid w:val="00E52AEC"/>
    <w:rsid w:val="00E52FF7"/>
    <w:rsid w:val="00E530DF"/>
    <w:rsid w:val="00E539D8"/>
    <w:rsid w:val="00E53E99"/>
    <w:rsid w:val="00E54967"/>
    <w:rsid w:val="00E5516D"/>
    <w:rsid w:val="00E607E1"/>
    <w:rsid w:val="00E60BBE"/>
    <w:rsid w:val="00E61742"/>
    <w:rsid w:val="00E626B6"/>
    <w:rsid w:val="00E62784"/>
    <w:rsid w:val="00E6289C"/>
    <w:rsid w:val="00E62BF1"/>
    <w:rsid w:val="00E62EC8"/>
    <w:rsid w:val="00E63519"/>
    <w:rsid w:val="00E64582"/>
    <w:rsid w:val="00E64A5C"/>
    <w:rsid w:val="00E65076"/>
    <w:rsid w:val="00E65DB1"/>
    <w:rsid w:val="00E65F43"/>
    <w:rsid w:val="00E66024"/>
    <w:rsid w:val="00E66A76"/>
    <w:rsid w:val="00E66AD7"/>
    <w:rsid w:val="00E66F1C"/>
    <w:rsid w:val="00E66F57"/>
    <w:rsid w:val="00E67335"/>
    <w:rsid w:val="00E70057"/>
    <w:rsid w:val="00E7009E"/>
    <w:rsid w:val="00E70A6F"/>
    <w:rsid w:val="00E70C46"/>
    <w:rsid w:val="00E71CFB"/>
    <w:rsid w:val="00E7217F"/>
    <w:rsid w:val="00E729E3"/>
    <w:rsid w:val="00E72A64"/>
    <w:rsid w:val="00E72F3E"/>
    <w:rsid w:val="00E73A36"/>
    <w:rsid w:val="00E742C0"/>
    <w:rsid w:val="00E745B2"/>
    <w:rsid w:val="00E75270"/>
    <w:rsid w:val="00E766D5"/>
    <w:rsid w:val="00E769E4"/>
    <w:rsid w:val="00E76D0F"/>
    <w:rsid w:val="00E7736F"/>
    <w:rsid w:val="00E774E7"/>
    <w:rsid w:val="00E776E5"/>
    <w:rsid w:val="00E77CD6"/>
    <w:rsid w:val="00E80679"/>
    <w:rsid w:val="00E80849"/>
    <w:rsid w:val="00E81014"/>
    <w:rsid w:val="00E82AD8"/>
    <w:rsid w:val="00E85687"/>
    <w:rsid w:val="00E85D09"/>
    <w:rsid w:val="00E8688A"/>
    <w:rsid w:val="00E86D2F"/>
    <w:rsid w:val="00E86E8A"/>
    <w:rsid w:val="00E87C13"/>
    <w:rsid w:val="00E91062"/>
    <w:rsid w:val="00E914E4"/>
    <w:rsid w:val="00E921A6"/>
    <w:rsid w:val="00E923B7"/>
    <w:rsid w:val="00E92468"/>
    <w:rsid w:val="00E93B19"/>
    <w:rsid w:val="00E93D61"/>
    <w:rsid w:val="00E9410D"/>
    <w:rsid w:val="00E945D5"/>
    <w:rsid w:val="00E946AF"/>
    <w:rsid w:val="00E94D5E"/>
    <w:rsid w:val="00E94E16"/>
    <w:rsid w:val="00E95B6A"/>
    <w:rsid w:val="00E960C4"/>
    <w:rsid w:val="00E96695"/>
    <w:rsid w:val="00E97119"/>
    <w:rsid w:val="00E9799E"/>
    <w:rsid w:val="00E97A4E"/>
    <w:rsid w:val="00E97ECA"/>
    <w:rsid w:val="00EA1755"/>
    <w:rsid w:val="00EA19D5"/>
    <w:rsid w:val="00EA1EAD"/>
    <w:rsid w:val="00EA20EA"/>
    <w:rsid w:val="00EA2613"/>
    <w:rsid w:val="00EA423E"/>
    <w:rsid w:val="00EA53A8"/>
    <w:rsid w:val="00EA5678"/>
    <w:rsid w:val="00EA5AA9"/>
    <w:rsid w:val="00EA685A"/>
    <w:rsid w:val="00EA72EE"/>
    <w:rsid w:val="00EA756A"/>
    <w:rsid w:val="00EA7B26"/>
    <w:rsid w:val="00EA7BDD"/>
    <w:rsid w:val="00EB0059"/>
    <w:rsid w:val="00EB152B"/>
    <w:rsid w:val="00EB1847"/>
    <w:rsid w:val="00EB24AB"/>
    <w:rsid w:val="00EB2523"/>
    <w:rsid w:val="00EB30A6"/>
    <w:rsid w:val="00EB3246"/>
    <w:rsid w:val="00EB38DB"/>
    <w:rsid w:val="00EB433E"/>
    <w:rsid w:val="00EB4475"/>
    <w:rsid w:val="00EB44B2"/>
    <w:rsid w:val="00EB4F91"/>
    <w:rsid w:val="00EB5848"/>
    <w:rsid w:val="00EB5876"/>
    <w:rsid w:val="00EB595E"/>
    <w:rsid w:val="00EB5EE9"/>
    <w:rsid w:val="00EB675F"/>
    <w:rsid w:val="00EB6E1A"/>
    <w:rsid w:val="00EB7AC2"/>
    <w:rsid w:val="00EB7C15"/>
    <w:rsid w:val="00EC0676"/>
    <w:rsid w:val="00EC0B77"/>
    <w:rsid w:val="00EC0D59"/>
    <w:rsid w:val="00EC141A"/>
    <w:rsid w:val="00EC2FBB"/>
    <w:rsid w:val="00EC3229"/>
    <w:rsid w:val="00EC5DD9"/>
    <w:rsid w:val="00EC5F78"/>
    <w:rsid w:val="00EC6568"/>
    <w:rsid w:val="00EC7451"/>
    <w:rsid w:val="00ED1193"/>
    <w:rsid w:val="00ED11F9"/>
    <w:rsid w:val="00ED196F"/>
    <w:rsid w:val="00ED22E5"/>
    <w:rsid w:val="00ED2A1C"/>
    <w:rsid w:val="00ED3A03"/>
    <w:rsid w:val="00ED4265"/>
    <w:rsid w:val="00ED556B"/>
    <w:rsid w:val="00ED6907"/>
    <w:rsid w:val="00ED71DF"/>
    <w:rsid w:val="00ED7714"/>
    <w:rsid w:val="00ED77F4"/>
    <w:rsid w:val="00ED79DE"/>
    <w:rsid w:val="00ED7D98"/>
    <w:rsid w:val="00EE03D0"/>
    <w:rsid w:val="00EE318B"/>
    <w:rsid w:val="00EE4BF2"/>
    <w:rsid w:val="00EE520F"/>
    <w:rsid w:val="00EE52C6"/>
    <w:rsid w:val="00EE5772"/>
    <w:rsid w:val="00EE7BA6"/>
    <w:rsid w:val="00EF0FFC"/>
    <w:rsid w:val="00EF2163"/>
    <w:rsid w:val="00EF2232"/>
    <w:rsid w:val="00EF2D69"/>
    <w:rsid w:val="00EF33FC"/>
    <w:rsid w:val="00EF34ED"/>
    <w:rsid w:val="00EF3679"/>
    <w:rsid w:val="00EF4A6B"/>
    <w:rsid w:val="00EF5ED5"/>
    <w:rsid w:val="00EF61B0"/>
    <w:rsid w:val="00EF6242"/>
    <w:rsid w:val="00EF631B"/>
    <w:rsid w:val="00EF694E"/>
    <w:rsid w:val="00F00272"/>
    <w:rsid w:val="00F0212B"/>
    <w:rsid w:val="00F031D7"/>
    <w:rsid w:val="00F049AF"/>
    <w:rsid w:val="00F04C31"/>
    <w:rsid w:val="00F05156"/>
    <w:rsid w:val="00F056CD"/>
    <w:rsid w:val="00F06BCA"/>
    <w:rsid w:val="00F10166"/>
    <w:rsid w:val="00F1045F"/>
    <w:rsid w:val="00F10E33"/>
    <w:rsid w:val="00F11A65"/>
    <w:rsid w:val="00F1301A"/>
    <w:rsid w:val="00F137EA"/>
    <w:rsid w:val="00F139EB"/>
    <w:rsid w:val="00F14DED"/>
    <w:rsid w:val="00F1529A"/>
    <w:rsid w:val="00F157D8"/>
    <w:rsid w:val="00F1593F"/>
    <w:rsid w:val="00F16B44"/>
    <w:rsid w:val="00F17AB1"/>
    <w:rsid w:val="00F207C1"/>
    <w:rsid w:val="00F20B76"/>
    <w:rsid w:val="00F20EA9"/>
    <w:rsid w:val="00F21447"/>
    <w:rsid w:val="00F21FAA"/>
    <w:rsid w:val="00F225B5"/>
    <w:rsid w:val="00F2269D"/>
    <w:rsid w:val="00F22CDA"/>
    <w:rsid w:val="00F239EA"/>
    <w:rsid w:val="00F24518"/>
    <w:rsid w:val="00F25097"/>
    <w:rsid w:val="00F2509F"/>
    <w:rsid w:val="00F258BD"/>
    <w:rsid w:val="00F25CD6"/>
    <w:rsid w:val="00F26630"/>
    <w:rsid w:val="00F26D1E"/>
    <w:rsid w:val="00F3092C"/>
    <w:rsid w:val="00F31230"/>
    <w:rsid w:val="00F31809"/>
    <w:rsid w:val="00F31A2B"/>
    <w:rsid w:val="00F32376"/>
    <w:rsid w:val="00F32D2E"/>
    <w:rsid w:val="00F33D0C"/>
    <w:rsid w:val="00F341A7"/>
    <w:rsid w:val="00F34D22"/>
    <w:rsid w:val="00F3538C"/>
    <w:rsid w:val="00F36A6B"/>
    <w:rsid w:val="00F3796E"/>
    <w:rsid w:val="00F413F1"/>
    <w:rsid w:val="00F41B62"/>
    <w:rsid w:val="00F42054"/>
    <w:rsid w:val="00F42DCE"/>
    <w:rsid w:val="00F439ED"/>
    <w:rsid w:val="00F445E0"/>
    <w:rsid w:val="00F452A8"/>
    <w:rsid w:val="00F458B2"/>
    <w:rsid w:val="00F47443"/>
    <w:rsid w:val="00F47FE5"/>
    <w:rsid w:val="00F5057A"/>
    <w:rsid w:val="00F5060A"/>
    <w:rsid w:val="00F51B1B"/>
    <w:rsid w:val="00F5210E"/>
    <w:rsid w:val="00F536EF"/>
    <w:rsid w:val="00F53D4F"/>
    <w:rsid w:val="00F54FF8"/>
    <w:rsid w:val="00F551E0"/>
    <w:rsid w:val="00F556E8"/>
    <w:rsid w:val="00F56071"/>
    <w:rsid w:val="00F565B8"/>
    <w:rsid w:val="00F57518"/>
    <w:rsid w:val="00F575E7"/>
    <w:rsid w:val="00F5769A"/>
    <w:rsid w:val="00F611BA"/>
    <w:rsid w:val="00F617EE"/>
    <w:rsid w:val="00F61A73"/>
    <w:rsid w:val="00F620EF"/>
    <w:rsid w:val="00F646C2"/>
    <w:rsid w:val="00F66447"/>
    <w:rsid w:val="00F675A0"/>
    <w:rsid w:val="00F67E69"/>
    <w:rsid w:val="00F71268"/>
    <w:rsid w:val="00F717D2"/>
    <w:rsid w:val="00F71A07"/>
    <w:rsid w:val="00F72009"/>
    <w:rsid w:val="00F72771"/>
    <w:rsid w:val="00F72C09"/>
    <w:rsid w:val="00F72E1A"/>
    <w:rsid w:val="00F73175"/>
    <w:rsid w:val="00F736E6"/>
    <w:rsid w:val="00F73E5D"/>
    <w:rsid w:val="00F74F81"/>
    <w:rsid w:val="00F7556B"/>
    <w:rsid w:val="00F77483"/>
    <w:rsid w:val="00F77BF7"/>
    <w:rsid w:val="00F81457"/>
    <w:rsid w:val="00F8174F"/>
    <w:rsid w:val="00F82BE6"/>
    <w:rsid w:val="00F8321D"/>
    <w:rsid w:val="00F83255"/>
    <w:rsid w:val="00F8377D"/>
    <w:rsid w:val="00F84135"/>
    <w:rsid w:val="00F8468A"/>
    <w:rsid w:val="00F84E4C"/>
    <w:rsid w:val="00F85341"/>
    <w:rsid w:val="00F85FDF"/>
    <w:rsid w:val="00F864C9"/>
    <w:rsid w:val="00F87764"/>
    <w:rsid w:val="00F9074A"/>
    <w:rsid w:val="00F90AE7"/>
    <w:rsid w:val="00F90F10"/>
    <w:rsid w:val="00F920A3"/>
    <w:rsid w:val="00F92313"/>
    <w:rsid w:val="00F92C25"/>
    <w:rsid w:val="00F938AC"/>
    <w:rsid w:val="00F939DA"/>
    <w:rsid w:val="00F948FE"/>
    <w:rsid w:val="00F9574F"/>
    <w:rsid w:val="00F95981"/>
    <w:rsid w:val="00F9624F"/>
    <w:rsid w:val="00F96272"/>
    <w:rsid w:val="00F96571"/>
    <w:rsid w:val="00F965D2"/>
    <w:rsid w:val="00F96A82"/>
    <w:rsid w:val="00F9761D"/>
    <w:rsid w:val="00F976AA"/>
    <w:rsid w:val="00FA0119"/>
    <w:rsid w:val="00FA077B"/>
    <w:rsid w:val="00FA15FC"/>
    <w:rsid w:val="00FA1A76"/>
    <w:rsid w:val="00FA1B4E"/>
    <w:rsid w:val="00FA25AF"/>
    <w:rsid w:val="00FA270E"/>
    <w:rsid w:val="00FA3092"/>
    <w:rsid w:val="00FA408D"/>
    <w:rsid w:val="00FA48B6"/>
    <w:rsid w:val="00FA709B"/>
    <w:rsid w:val="00FA7377"/>
    <w:rsid w:val="00FB0CC4"/>
    <w:rsid w:val="00FB15AB"/>
    <w:rsid w:val="00FB1634"/>
    <w:rsid w:val="00FB1EBE"/>
    <w:rsid w:val="00FB2D50"/>
    <w:rsid w:val="00FB2F5C"/>
    <w:rsid w:val="00FB3914"/>
    <w:rsid w:val="00FB3BFE"/>
    <w:rsid w:val="00FB3F68"/>
    <w:rsid w:val="00FB4026"/>
    <w:rsid w:val="00FB442C"/>
    <w:rsid w:val="00FB4631"/>
    <w:rsid w:val="00FB762C"/>
    <w:rsid w:val="00FB7D72"/>
    <w:rsid w:val="00FC1299"/>
    <w:rsid w:val="00FC1336"/>
    <w:rsid w:val="00FC146D"/>
    <w:rsid w:val="00FC1F37"/>
    <w:rsid w:val="00FC2538"/>
    <w:rsid w:val="00FC25C4"/>
    <w:rsid w:val="00FC304D"/>
    <w:rsid w:val="00FC341E"/>
    <w:rsid w:val="00FC35AE"/>
    <w:rsid w:val="00FC4325"/>
    <w:rsid w:val="00FC475C"/>
    <w:rsid w:val="00FC485A"/>
    <w:rsid w:val="00FC5B52"/>
    <w:rsid w:val="00FC62C7"/>
    <w:rsid w:val="00FD03D9"/>
    <w:rsid w:val="00FD086A"/>
    <w:rsid w:val="00FD0D6D"/>
    <w:rsid w:val="00FD13D6"/>
    <w:rsid w:val="00FD1463"/>
    <w:rsid w:val="00FD33F9"/>
    <w:rsid w:val="00FD391B"/>
    <w:rsid w:val="00FD52F4"/>
    <w:rsid w:val="00FD534C"/>
    <w:rsid w:val="00FD5437"/>
    <w:rsid w:val="00FD5DB8"/>
    <w:rsid w:val="00FD60A8"/>
    <w:rsid w:val="00FD671E"/>
    <w:rsid w:val="00FE07F9"/>
    <w:rsid w:val="00FE0C7F"/>
    <w:rsid w:val="00FE2F78"/>
    <w:rsid w:val="00FE3412"/>
    <w:rsid w:val="00FE392E"/>
    <w:rsid w:val="00FE4429"/>
    <w:rsid w:val="00FE4526"/>
    <w:rsid w:val="00FE4DAD"/>
    <w:rsid w:val="00FE52A5"/>
    <w:rsid w:val="00FE5485"/>
    <w:rsid w:val="00FE574B"/>
    <w:rsid w:val="00FE6162"/>
    <w:rsid w:val="00FE63B0"/>
    <w:rsid w:val="00FE7B74"/>
    <w:rsid w:val="00FF0510"/>
    <w:rsid w:val="00FF057F"/>
    <w:rsid w:val="00FF20F1"/>
    <w:rsid w:val="00FF23AA"/>
    <w:rsid w:val="00FF2D51"/>
    <w:rsid w:val="00FF3B86"/>
    <w:rsid w:val="00FF4C06"/>
    <w:rsid w:val="00FF561E"/>
    <w:rsid w:val="00FF5851"/>
    <w:rsid w:val="00FF6CF4"/>
    <w:rsid w:val="00FF6D3D"/>
    <w:rsid w:val="00FF6D4E"/>
    <w:rsid w:val="00FF784F"/>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37AE"/>
    <w:rPr>
      <w:rFonts w:ascii="Arial" w:hAnsi="Arial" w:cs="Arial"/>
      <w:sz w:val="22"/>
      <w:szCs w:val="22"/>
      <w:lang w:eastAsia="en-US"/>
    </w:rPr>
  </w:style>
  <w:style w:type="paragraph" w:styleId="Heading1">
    <w:name w:val="heading 1"/>
    <w:basedOn w:val="Normal"/>
    <w:next w:val="Normal"/>
    <w:link w:val="Heading1Char"/>
    <w:uiPriority w:val="9"/>
    <w:qFormat/>
    <w:rsid w:val="00DA6C2F"/>
    <w:pPr>
      <w:numPr>
        <w:numId w:val="1"/>
      </w:numPr>
      <w:pBdr>
        <w:bottom w:val="single" w:sz="12" w:space="1" w:color="17365D"/>
      </w:pBdr>
      <w:tabs>
        <w:tab w:val="left" w:pos="-1440"/>
        <w:tab w:val="left" w:pos="2160"/>
        <w:tab w:val="left" w:pos="2880"/>
        <w:tab w:val="left" w:pos="3600"/>
        <w:tab w:val="left" w:pos="5040"/>
        <w:tab w:val="left" w:pos="5760"/>
        <w:tab w:val="left" w:pos="6480"/>
        <w:tab w:val="left" w:pos="7200"/>
      </w:tabs>
      <w:spacing w:before="90" w:after="90"/>
      <w:outlineLvl w:val="0"/>
    </w:pPr>
    <w:rPr>
      <w:rFonts w:ascii="Arial Bold" w:hAnsi="Arial Bold"/>
      <w:b/>
      <w:color w:val="17365D"/>
      <w:kern w:val="28"/>
      <w:sz w:val="24"/>
      <w:lang w:val="en-GB"/>
    </w:rPr>
  </w:style>
  <w:style w:type="paragraph" w:styleId="Heading2">
    <w:name w:val="heading 2"/>
    <w:basedOn w:val="Normal"/>
    <w:next w:val="BodyText"/>
    <w:qFormat/>
    <w:rsid w:val="0086429D"/>
    <w:pPr>
      <w:numPr>
        <w:ilvl w:val="1"/>
        <w:numId w:val="1"/>
      </w:numPr>
      <w:tabs>
        <w:tab w:val="left" w:pos="-1440"/>
        <w:tab w:val="left" w:pos="2160"/>
        <w:tab w:val="left" w:pos="2880"/>
        <w:tab w:val="left" w:pos="5040"/>
        <w:tab w:val="left" w:pos="5760"/>
        <w:tab w:val="left" w:pos="6480"/>
        <w:tab w:val="left" w:pos="7200"/>
      </w:tabs>
      <w:outlineLvl w:val="1"/>
    </w:pPr>
    <w:rPr>
      <w:rFonts w:ascii="Arial Bold" w:hAnsi="Arial Bold"/>
      <w:b/>
      <w:u w:val="single"/>
    </w:rPr>
  </w:style>
  <w:style w:type="paragraph" w:styleId="Heading3">
    <w:name w:val="heading 3"/>
    <w:basedOn w:val="Normal"/>
    <w:next w:val="Normal"/>
    <w:qFormat/>
    <w:rsid w:val="002E1AEC"/>
    <w:pPr>
      <w:numPr>
        <w:ilvl w:val="2"/>
        <w:numId w:val="1"/>
      </w:numPr>
      <w:tabs>
        <w:tab w:val="left" w:pos="-1440"/>
        <w:tab w:val="left" w:pos="2880"/>
        <w:tab w:val="left" w:pos="3600"/>
        <w:tab w:val="left" w:pos="5040"/>
        <w:tab w:val="left" w:pos="5760"/>
        <w:tab w:val="left" w:pos="6480"/>
        <w:tab w:val="left" w:pos="7200"/>
      </w:tabs>
      <w:spacing w:after="60"/>
      <w:outlineLvl w:val="2"/>
    </w:pPr>
    <w:rPr>
      <w:bCs/>
      <w:lang w:val="en-GB"/>
    </w:rPr>
  </w:style>
  <w:style w:type="paragraph" w:styleId="Heading4">
    <w:name w:val="heading 4"/>
    <w:basedOn w:val="Normal"/>
    <w:next w:val="Normal"/>
    <w:qFormat/>
    <w:rsid w:val="00F948FE"/>
    <w:pPr>
      <w:keepNext/>
      <w:numPr>
        <w:ilvl w:val="3"/>
        <w:numId w:val="1"/>
      </w:numPr>
      <w:tabs>
        <w:tab w:val="left" w:pos="-1440"/>
        <w:tab w:val="left" w:pos="2160"/>
        <w:tab w:val="left" w:pos="2880"/>
        <w:tab w:val="left" w:pos="3600"/>
        <w:tab w:val="left" w:pos="5760"/>
        <w:tab w:val="left" w:pos="6480"/>
        <w:tab w:val="left" w:pos="7200"/>
      </w:tabs>
      <w:spacing w:before="240" w:after="60"/>
      <w:outlineLvl w:val="3"/>
    </w:pPr>
    <w:rPr>
      <w:b/>
      <w:sz w:val="24"/>
      <w:lang w:val="en-GB"/>
    </w:rPr>
  </w:style>
  <w:style w:type="paragraph" w:styleId="Heading5">
    <w:name w:val="heading 5"/>
    <w:basedOn w:val="Normal"/>
    <w:next w:val="Normal"/>
    <w:qFormat/>
    <w:rsid w:val="00F948FE"/>
    <w:pPr>
      <w:numPr>
        <w:ilvl w:val="4"/>
        <w:numId w:val="1"/>
      </w:numPr>
      <w:tabs>
        <w:tab w:val="left" w:pos="-1440"/>
        <w:tab w:val="left" w:pos="2160"/>
        <w:tab w:val="left" w:pos="2880"/>
        <w:tab w:val="left" w:pos="3600"/>
        <w:tab w:val="left" w:pos="5040"/>
        <w:tab w:val="left" w:pos="6480"/>
        <w:tab w:val="left" w:pos="7200"/>
      </w:tabs>
      <w:spacing w:before="240" w:after="60"/>
      <w:outlineLvl w:val="4"/>
    </w:pPr>
    <w:rPr>
      <w:lang w:val="en-GB"/>
    </w:rPr>
  </w:style>
  <w:style w:type="paragraph" w:styleId="Heading6">
    <w:name w:val="heading 6"/>
    <w:basedOn w:val="Normal"/>
    <w:next w:val="Normal"/>
    <w:qFormat/>
    <w:rsid w:val="00F948FE"/>
    <w:pPr>
      <w:numPr>
        <w:ilvl w:val="5"/>
        <w:numId w:val="1"/>
      </w:numPr>
      <w:tabs>
        <w:tab w:val="left" w:pos="-1440"/>
        <w:tab w:val="left" w:pos="2160"/>
        <w:tab w:val="left" w:pos="2880"/>
        <w:tab w:val="left" w:pos="3600"/>
        <w:tab w:val="left" w:pos="5040"/>
        <w:tab w:val="left" w:pos="5760"/>
        <w:tab w:val="left" w:pos="7200"/>
      </w:tabs>
      <w:spacing w:before="240" w:after="60"/>
      <w:outlineLvl w:val="5"/>
    </w:pPr>
    <w:rPr>
      <w:i/>
      <w:lang w:val="en-GB"/>
    </w:rPr>
  </w:style>
  <w:style w:type="paragraph" w:styleId="Heading7">
    <w:name w:val="heading 7"/>
    <w:basedOn w:val="Normal"/>
    <w:next w:val="Normal"/>
    <w:qFormat/>
    <w:rsid w:val="00F948FE"/>
    <w:pPr>
      <w:numPr>
        <w:ilvl w:val="6"/>
        <w:numId w:val="1"/>
      </w:numPr>
      <w:tabs>
        <w:tab w:val="left" w:pos="-1440"/>
        <w:tab w:val="left" w:pos="2160"/>
        <w:tab w:val="left" w:pos="2880"/>
        <w:tab w:val="left" w:pos="3600"/>
        <w:tab w:val="left" w:pos="5040"/>
        <w:tab w:val="left" w:pos="5760"/>
        <w:tab w:val="left" w:pos="6480"/>
      </w:tabs>
      <w:spacing w:before="240" w:after="60"/>
      <w:outlineLvl w:val="6"/>
    </w:pPr>
    <w:rPr>
      <w:sz w:val="20"/>
      <w:lang w:val="en-GB"/>
    </w:rPr>
  </w:style>
  <w:style w:type="paragraph" w:styleId="Heading8">
    <w:name w:val="heading 8"/>
    <w:basedOn w:val="Normal"/>
    <w:next w:val="Normal"/>
    <w:qFormat/>
    <w:rsid w:val="00F948FE"/>
    <w:pPr>
      <w:numPr>
        <w:ilvl w:val="7"/>
        <w:numId w:val="1"/>
      </w:numPr>
      <w:tabs>
        <w:tab w:val="left" w:pos="-1440"/>
        <w:tab w:val="left" w:pos="2160"/>
        <w:tab w:val="left" w:pos="2880"/>
        <w:tab w:val="left" w:pos="3600"/>
        <w:tab w:val="left" w:pos="5040"/>
        <w:tab w:val="left" w:pos="5760"/>
        <w:tab w:val="left" w:pos="6480"/>
        <w:tab w:val="left" w:pos="7200"/>
      </w:tabs>
      <w:spacing w:before="240" w:after="60"/>
      <w:outlineLvl w:val="7"/>
    </w:pPr>
    <w:rPr>
      <w:i/>
      <w:sz w:val="20"/>
      <w:lang w:val="en-GB"/>
    </w:rPr>
  </w:style>
  <w:style w:type="paragraph" w:styleId="Heading9">
    <w:name w:val="heading 9"/>
    <w:basedOn w:val="Normal"/>
    <w:next w:val="Normal"/>
    <w:qFormat/>
    <w:rsid w:val="00F948FE"/>
    <w:pPr>
      <w:numPr>
        <w:ilvl w:val="8"/>
        <w:numId w:val="1"/>
      </w:numPr>
      <w:tabs>
        <w:tab w:val="left" w:pos="-1440"/>
        <w:tab w:val="left" w:pos="2160"/>
        <w:tab w:val="left" w:pos="2880"/>
        <w:tab w:val="left" w:pos="3600"/>
        <w:tab w:val="left" w:pos="5040"/>
        <w:tab w:val="left" w:pos="5760"/>
        <w:tab w:val="left" w:pos="6480"/>
        <w:tab w:val="left" w:pos="7200"/>
      </w:tabs>
      <w:spacing w:before="240" w:after="60"/>
      <w:outlineLvl w:val="8"/>
    </w:pPr>
    <w:rPr>
      <w:b/>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0015"/>
    <w:pPr>
      <w:tabs>
        <w:tab w:val="center" w:pos="4320"/>
        <w:tab w:val="right" w:pos="8640"/>
      </w:tabs>
    </w:pPr>
  </w:style>
  <w:style w:type="paragraph" w:styleId="Footer">
    <w:name w:val="footer"/>
    <w:basedOn w:val="Normal"/>
    <w:rsid w:val="00DC0015"/>
    <w:pPr>
      <w:tabs>
        <w:tab w:val="center" w:pos="4320"/>
        <w:tab w:val="right" w:pos="8640"/>
      </w:tabs>
    </w:pPr>
  </w:style>
  <w:style w:type="character" w:styleId="PageNumber">
    <w:name w:val="page number"/>
    <w:basedOn w:val="DefaultParagraphFont"/>
    <w:rsid w:val="00275A7D"/>
  </w:style>
  <w:style w:type="paragraph" w:customStyle="1" w:styleId="Heading3LeftChar">
    <w:name w:val="Heading 3 + Left Char"/>
    <w:basedOn w:val="Heading3"/>
    <w:link w:val="Heading3LeftCharChar"/>
    <w:rsid w:val="00DC0015"/>
    <w:pPr>
      <w:tabs>
        <w:tab w:val="left" w:pos="440"/>
        <w:tab w:val="left" w:pos="880"/>
        <w:tab w:val="right" w:pos="9020"/>
      </w:tabs>
      <w:spacing w:after="0"/>
    </w:pPr>
    <w:rPr>
      <w:lang w:val="en-NZ"/>
    </w:rPr>
  </w:style>
  <w:style w:type="character" w:customStyle="1" w:styleId="Heading3LeftCharChar">
    <w:name w:val="Heading 3 + Left Char Char"/>
    <w:link w:val="Heading3LeftChar"/>
    <w:rsid w:val="00DC0015"/>
    <w:rPr>
      <w:rFonts w:ascii="Arial" w:hAnsi="Arial" w:cs="Arial"/>
      <w:bCs/>
      <w:sz w:val="22"/>
      <w:szCs w:val="22"/>
      <w:lang w:eastAsia="en-US"/>
    </w:rPr>
  </w:style>
  <w:style w:type="paragraph" w:styleId="BodyText">
    <w:name w:val="Body Text"/>
    <w:basedOn w:val="Normal"/>
    <w:link w:val="BodyTextChar"/>
    <w:rsid w:val="0086429D"/>
    <w:pPr>
      <w:spacing w:before="120" w:after="120"/>
      <w:ind w:left="720"/>
    </w:pPr>
    <w:rPr>
      <w:lang w:val="en-GB"/>
    </w:rPr>
  </w:style>
  <w:style w:type="paragraph" w:styleId="TOC1">
    <w:name w:val="toc 1"/>
    <w:basedOn w:val="Normal"/>
    <w:next w:val="Normal"/>
    <w:autoRedefine/>
    <w:uiPriority w:val="39"/>
    <w:qFormat/>
    <w:rsid w:val="009C3F69"/>
    <w:pPr>
      <w:tabs>
        <w:tab w:val="left" w:pos="480"/>
        <w:tab w:val="right" w:leader="dot" w:pos="9016"/>
      </w:tabs>
      <w:spacing w:before="160" w:after="120"/>
      <w:ind w:left="426" w:hanging="426"/>
    </w:pPr>
    <w:rPr>
      <w:b/>
      <w:noProof/>
    </w:rPr>
  </w:style>
  <w:style w:type="paragraph" w:styleId="TOC2">
    <w:name w:val="toc 2"/>
    <w:basedOn w:val="Normal"/>
    <w:next w:val="Normal"/>
    <w:autoRedefine/>
    <w:uiPriority w:val="39"/>
    <w:qFormat/>
    <w:rsid w:val="009B367B"/>
    <w:pPr>
      <w:tabs>
        <w:tab w:val="left" w:pos="-1560"/>
        <w:tab w:val="right" w:leader="dot" w:pos="9016"/>
      </w:tabs>
      <w:spacing w:after="80"/>
      <w:ind w:left="1134" w:hanging="708"/>
    </w:pPr>
    <w:rPr>
      <w:noProof/>
      <w:sz w:val="20"/>
    </w:rPr>
  </w:style>
  <w:style w:type="paragraph" w:styleId="TOC3">
    <w:name w:val="toc 3"/>
    <w:basedOn w:val="Normal"/>
    <w:next w:val="Normal"/>
    <w:autoRedefine/>
    <w:uiPriority w:val="39"/>
    <w:qFormat/>
    <w:rsid w:val="000161F0"/>
    <w:pPr>
      <w:tabs>
        <w:tab w:val="left" w:pos="770"/>
        <w:tab w:val="right" w:leader="dot" w:pos="9016"/>
      </w:tabs>
      <w:ind w:left="440"/>
    </w:pPr>
  </w:style>
  <w:style w:type="character" w:styleId="Hyperlink">
    <w:name w:val="Hyperlink"/>
    <w:uiPriority w:val="99"/>
    <w:rsid w:val="00DA6C2F"/>
    <w:rPr>
      <w:u w:val="single"/>
    </w:rPr>
  </w:style>
  <w:style w:type="paragraph" w:styleId="ListParagraph">
    <w:name w:val="List Paragraph"/>
    <w:basedOn w:val="Normal"/>
    <w:uiPriority w:val="34"/>
    <w:qFormat/>
    <w:rsid w:val="00642D34"/>
    <w:pPr>
      <w:spacing w:after="200" w:line="276" w:lineRule="auto"/>
      <w:ind w:left="720"/>
      <w:contextualSpacing/>
    </w:pPr>
    <w:rPr>
      <w:rFonts w:ascii="Calibri" w:eastAsia="Calibri" w:hAnsi="Calibri" w:cs="Times New Roman"/>
    </w:rPr>
  </w:style>
  <w:style w:type="character" w:customStyle="1" w:styleId="Heading1Char">
    <w:name w:val="Heading 1 Char"/>
    <w:basedOn w:val="DefaultParagraphFont"/>
    <w:link w:val="Heading1"/>
    <w:uiPriority w:val="9"/>
    <w:rsid w:val="009403DE"/>
    <w:rPr>
      <w:rFonts w:ascii="Arial Bold" w:hAnsi="Arial Bold" w:cs="Arial"/>
      <w:b/>
      <w:color w:val="17365D"/>
      <w:kern w:val="28"/>
      <w:sz w:val="24"/>
      <w:szCs w:val="22"/>
      <w:lang w:val="en-GB" w:eastAsia="en-US"/>
    </w:rPr>
  </w:style>
  <w:style w:type="paragraph" w:styleId="BalloonText">
    <w:name w:val="Balloon Text"/>
    <w:basedOn w:val="Normal"/>
    <w:link w:val="BalloonTextChar"/>
    <w:rsid w:val="009403DE"/>
    <w:rPr>
      <w:rFonts w:ascii="Tahoma" w:hAnsi="Tahoma" w:cs="Tahoma"/>
      <w:sz w:val="16"/>
      <w:szCs w:val="16"/>
    </w:rPr>
  </w:style>
  <w:style w:type="character" w:customStyle="1" w:styleId="BalloonTextChar">
    <w:name w:val="Balloon Text Char"/>
    <w:basedOn w:val="DefaultParagraphFont"/>
    <w:link w:val="BalloonText"/>
    <w:rsid w:val="009403DE"/>
    <w:rPr>
      <w:rFonts w:ascii="Tahoma" w:hAnsi="Tahoma" w:cs="Tahoma"/>
      <w:sz w:val="16"/>
      <w:szCs w:val="16"/>
      <w:lang w:eastAsia="en-US"/>
    </w:rPr>
  </w:style>
  <w:style w:type="paragraph" w:styleId="EndnoteText">
    <w:name w:val="endnote text"/>
    <w:basedOn w:val="Normal"/>
    <w:link w:val="EndnoteTextChar"/>
    <w:rsid w:val="009403DE"/>
    <w:rPr>
      <w:sz w:val="20"/>
      <w:szCs w:val="20"/>
    </w:rPr>
  </w:style>
  <w:style w:type="character" w:customStyle="1" w:styleId="EndnoteTextChar">
    <w:name w:val="Endnote Text Char"/>
    <w:basedOn w:val="DefaultParagraphFont"/>
    <w:link w:val="EndnoteText"/>
    <w:rsid w:val="009403DE"/>
    <w:rPr>
      <w:rFonts w:ascii="Arial" w:hAnsi="Arial" w:cs="Arial"/>
      <w:lang w:eastAsia="en-US"/>
    </w:rPr>
  </w:style>
  <w:style w:type="character" w:styleId="EndnoteReference">
    <w:name w:val="endnote reference"/>
    <w:basedOn w:val="DefaultParagraphFont"/>
    <w:rsid w:val="009403DE"/>
    <w:rPr>
      <w:vertAlign w:val="superscript"/>
    </w:rPr>
  </w:style>
  <w:style w:type="paragraph" w:styleId="FootnoteText">
    <w:name w:val="footnote text"/>
    <w:basedOn w:val="Normal"/>
    <w:link w:val="FootnoteTextChar"/>
    <w:rsid w:val="009403DE"/>
    <w:rPr>
      <w:sz w:val="20"/>
      <w:szCs w:val="20"/>
    </w:rPr>
  </w:style>
  <w:style w:type="character" w:customStyle="1" w:styleId="FootnoteTextChar">
    <w:name w:val="Footnote Text Char"/>
    <w:basedOn w:val="DefaultParagraphFont"/>
    <w:link w:val="FootnoteText"/>
    <w:rsid w:val="009403DE"/>
    <w:rPr>
      <w:rFonts w:ascii="Arial" w:hAnsi="Arial" w:cs="Arial"/>
      <w:lang w:eastAsia="en-US"/>
    </w:rPr>
  </w:style>
  <w:style w:type="character" w:styleId="FootnoteReference">
    <w:name w:val="footnote reference"/>
    <w:basedOn w:val="DefaultParagraphFont"/>
    <w:rsid w:val="009403DE"/>
    <w:rPr>
      <w:vertAlign w:val="superscript"/>
    </w:rPr>
  </w:style>
  <w:style w:type="table" w:styleId="TableGrid">
    <w:name w:val="Table Grid"/>
    <w:basedOn w:val="TableNormal"/>
    <w:rsid w:val="00DC38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C024C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bullet1">
    <w:name w:val="bullet 1"/>
    <w:basedOn w:val="Normal"/>
    <w:rsid w:val="000852E8"/>
    <w:pPr>
      <w:numPr>
        <w:numId w:val="5"/>
      </w:numPr>
      <w:suppressAutoHyphens/>
      <w:autoSpaceDE w:val="0"/>
      <w:autoSpaceDN w:val="0"/>
      <w:adjustRightInd w:val="0"/>
      <w:spacing w:before="120" w:line="280" w:lineRule="atLeast"/>
      <w:textAlignment w:val="center"/>
    </w:pPr>
    <w:rPr>
      <w:rFonts w:cs="Arial (TT)"/>
      <w:color w:val="54534C"/>
      <w:lang w:val="en-US" w:eastAsia="en-NZ"/>
    </w:rPr>
  </w:style>
  <w:style w:type="paragraph" w:styleId="TOCHeading">
    <w:name w:val="TOC Heading"/>
    <w:basedOn w:val="Heading1"/>
    <w:next w:val="Normal"/>
    <w:uiPriority w:val="39"/>
    <w:semiHidden/>
    <w:unhideWhenUsed/>
    <w:qFormat/>
    <w:rsid w:val="0033729F"/>
    <w:pPr>
      <w:keepNext/>
      <w:keepLines/>
      <w:numPr>
        <w:numId w:val="0"/>
      </w:numPr>
      <w:pBdr>
        <w:bottom w:val="none" w:sz="0" w:space="0" w:color="auto"/>
      </w:pBdr>
      <w:tabs>
        <w:tab w:val="clear" w:pos="-1440"/>
        <w:tab w:val="clear" w:pos="2160"/>
        <w:tab w:val="clear" w:pos="2880"/>
        <w:tab w:val="clear" w:pos="3600"/>
        <w:tab w:val="clear" w:pos="5040"/>
        <w:tab w:val="clear" w:pos="5760"/>
        <w:tab w:val="clear" w:pos="6480"/>
        <w:tab w:val="clear" w:pos="7200"/>
      </w:tabs>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character" w:styleId="Emphasis">
    <w:name w:val="Emphasis"/>
    <w:basedOn w:val="DefaultParagraphFont"/>
    <w:qFormat/>
    <w:rsid w:val="00B03D7D"/>
    <w:rPr>
      <w:i/>
      <w:iCs/>
    </w:rPr>
  </w:style>
  <w:style w:type="character" w:customStyle="1" w:styleId="BodyTextChar">
    <w:name w:val="Body Text Char"/>
    <w:basedOn w:val="DefaultParagraphFont"/>
    <w:link w:val="BodyText"/>
    <w:rsid w:val="00041DC6"/>
    <w:rPr>
      <w:rFonts w:ascii="Arial" w:hAnsi="Arial" w:cs="Arial"/>
      <w:sz w:val="22"/>
      <w:szCs w:val="22"/>
      <w:lang w:val="en-GB" w:eastAsia="en-US"/>
    </w:rPr>
  </w:style>
  <w:style w:type="paragraph" w:styleId="NormalWeb">
    <w:name w:val="Normal (Web)"/>
    <w:basedOn w:val="Normal"/>
    <w:uiPriority w:val="99"/>
    <w:unhideWhenUsed/>
    <w:rsid w:val="004E130B"/>
    <w:pPr>
      <w:spacing w:before="100" w:beforeAutospacing="1" w:after="100" w:afterAutospacing="1"/>
    </w:pPr>
    <w:rPr>
      <w:rFonts w:ascii="Times New Roman" w:eastAsiaTheme="minorEastAsia" w:hAnsi="Times New Roman" w:cs="Times New Roman"/>
      <w:sz w:val="24"/>
      <w:szCs w:val="24"/>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37AE"/>
    <w:rPr>
      <w:rFonts w:ascii="Arial" w:hAnsi="Arial" w:cs="Arial"/>
      <w:sz w:val="22"/>
      <w:szCs w:val="22"/>
      <w:lang w:eastAsia="en-US"/>
    </w:rPr>
  </w:style>
  <w:style w:type="paragraph" w:styleId="Heading1">
    <w:name w:val="heading 1"/>
    <w:basedOn w:val="Normal"/>
    <w:next w:val="Normal"/>
    <w:link w:val="Heading1Char"/>
    <w:uiPriority w:val="9"/>
    <w:qFormat/>
    <w:rsid w:val="00DA6C2F"/>
    <w:pPr>
      <w:numPr>
        <w:numId w:val="1"/>
      </w:numPr>
      <w:pBdr>
        <w:bottom w:val="single" w:sz="12" w:space="1" w:color="17365D"/>
      </w:pBdr>
      <w:tabs>
        <w:tab w:val="left" w:pos="-1440"/>
        <w:tab w:val="left" w:pos="2160"/>
        <w:tab w:val="left" w:pos="2880"/>
        <w:tab w:val="left" w:pos="3600"/>
        <w:tab w:val="left" w:pos="5040"/>
        <w:tab w:val="left" w:pos="5760"/>
        <w:tab w:val="left" w:pos="6480"/>
        <w:tab w:val="left" w:pos="7200"/>
      </w:tabs>
      <w:spacing w:before="90" w:after="90"/>
      <w:outlineLvl w:val="0"/>
    </w:pPr>
    <w:rPr>
      <w:rFonts w:ascii="Arial Bold" w:hAnsi="Arial Bold"/>
      <w:b/>
      <w:color w:val="17365D"/>
      <w:kern w:val="28"/>
      <w:sz w:val="24"/>
      <w:lang w:val="en-GB"/>
    </w:rPr>
  </w:style>
  <w:style w:type="paragraph" w:styleId="Heading2">
    <w:name w:val="heading 2"/>
    <w:basedOn w:val="Normal"/>
    <w:next w:val="BodyText"/>
    <w:qFormat/>
    <w:rsid w:val="0086429D"/>
    <w:pPr>
      <w:numPr>
        <w:ilvl w:val="1"/>
        <w:numId w:val="1"/>
      </w:numPr>
      <w:tabs>
        <w:tab w:val="left" w:pos="-1440"/>
        <w:tab w:val="left" w:pos="2160"/>
        <w:tab w:val="left" w:pos="2880"/>
        <w:tab w:val="left" w:pos="5040"/>
        <w:tab w:val="left" w:pos="5760"/>
        <w:tab w:val="left" w:pos="6480"/>
        <w:tab w:val="left" w:pos="7200"/>
      </w:tabs>
      <w:outlineLvl w:val="1"/>
    </w:pPr>
    <w:rPr>
      <w:rFonts w:ascii="Arial Bold" w:hAnsi="Arial Bold"/>
      <w:b/>
      <w:u w:val="single"/>
    </w:rPr>
  </w:style>
  <w:style w:type="paragraph" w:styleId="Heading3">
    <w:name w:val="heading 3"/>
    <w:basedOn w:val="Normal"/>
    <w:next w:val="Normal"/>
    <w:qFormat/>
    <w:rsid w:val="002E1AEC"/>
    <w:pPr>
      <w:numPr>
        <w:ilvl w:val="2"/>
        <w:numId w:val="1"/>
      </w:numPr>
      <w:tabs>
        <w:tab w:val="left" w:pos="-1440"/>
        <w:tab w:val="left" w:pos="2880"/>
        <w:tab w:val="left" w:pos="3600"/>
        <w:tab w:val="left" w:pos="5040"/>
        <w:tab w:val="left" w:pos="5760"/>
        <w:tab w:val="left" w:pos="6480"/>
        <w:tab w:val="left" w:pos="7200"/>
      </w:tabs>
      <w:spacing w:after="60"/>
      <w:outlineLvl w:val="2"/>
    </w:pPr>
    <w:rPr>
      <w:bCs/>
      <w:lang w:val="en-GB"/>
    </w:rPr>
  </w:style>
  <w:style w:type="paragraph" w:styleId="Heading4">
    <w:name w:val="heading 4"/>
    <w:basedOn w:val="Normal"/>
    <w:next w:val="Normal"/>
    <w:qFormat/>
    <w:rsid w:val="00F948FE"/>
    <w:pPr>
      <w:keepNext/>
      <w:numPr>
        <w:ilvl w:val="3"/>
        <w:numId w:val="1"/>
      </w:numPr>
      <w:tabs>
        <w:tab w:val="left" w:pos="-1440"/>
        <w:tab w:val="left" w:pos="2160"/>
        <w:tab w:val="left" w:pos="2880"/>
        <w:tab w:val="left" w:pos="3600"/>
        <w:tab w:val="left" w:pos="5760"/>
        <w:tab w:val="left" w:pos="6480"/>
        <w:tab w:val="left" w:pos="7200"/>
      </w:tabs>
      <w:spacing w:before="240" w:after="60"/>
      <w:outlineLvl w:val="3"/>
    </w:pPr>
    <w:rPr>
      <w:b/>
      <w:sz w:val="24"/>
      <w:lang w:val="en-GB"/>
    </w:rPr>
  </w:style>
  <w:style w:type="paragraph" w:styleId="Heading5">
    <w:name w:val="heading 5"/>
    <w:basedOn w:val="Normal"/>
    <w:next w:val="Normal"/>
    <w:qFormat/>
    <w:rsid w:val="00F948FE"/>
    <w:pPr>
      <w:numPr>
        <w:ilvl w:val="4"/>
        <w:numId w:val="1"/>
      </w:numPr>
      <w:tabs>
        <w:tab w:val="left" w:pos="-1440"/>
        <w:tab w:val="left" w:pos="2160"/>
        <w:tab w:val="left" w:pos="2880"/>
        <w:tab w:val="left" w:pos="3600"/>
        <w:tab w:val="left" w:pos="5040"/>
        <w:tab w:val="left" w:pos="6480"/>
        <w:tab w:val="left" w:pos="7200"/>
      </w:tabs>
      <w:spacing w:before="240" w:after="60"/>
      <w:outlineLvl w:val="4"/>
    </w:pPr>
    <w:rPr>
      <w:lang w:val="en-GB"/>
    </w:rPr>
  </w:style>
  <w:style w:type="paragraph" w:styleId="Heading6">
    <w:name w:val="heading 6"/>
    <w:basedOn w:val="Normal"/>
    <w:next w:val="Normal"/>
    <w:qFormat/>
    <w:rsid w:val="00F948FE"/>
    <w:pPr>
      <w:numPr>
        <w:ilvl w:val="5"/>
        <w:numId w:val="1"/>
      </w:numPr>
      <w:tabs>
        <w:tab w:val="left" w:pos="-1440"/>
        <w:tab w:val="left" w:pos="2160"/>
        <w:tab w:val="left" w:pos="2880"/>
        <w:tab w:val="left" w:pos="3600"/>
        <w:tab w:val="left" w:pos="5040"/>
        <w:tab w:val="left" w:pos="5760"/>
        <w:tab w:val="left" w:pos="7200"/>
      </w:tabs>
      <w:spacing w:before="240" w:after="60"/>
      <w:outlineLvl w:val="5"/>
    </w:pPr>
    <w:rPr>
      <w:i/>
      <w:lang w:val="en-GB"/>
    </w:rPr>
  </w:style>
  <w:style w:type="paragraph" w:styleId="Heading7">
    <w:name w:val="heading 7"/>
    <w:basedOn w:val="Normal"/>
    <w:next w:val="Normal"/>
    <w:qFormat/>
    <w:rsid w:val="00F948FE"/>
    <w:pPr>
      <w:numPr>
        <w:ilvl w:val="6"/>
        <w:numId w:val="1"/>
      </w:numPr>
      <w:tabs>
        <w:tab w:val="left" w:pos="-1440"/>
        <w:tab w:val="left" w:pos="2160"/>
        <w:tab w:val="left" w:pos="2880"/>
        <w:tab w:val="left" w:pos="3600"/>
        <w:tab w:val="left" w:pos="5040"/>
        <w:tab w:val="left" w:pos="5760"/>
        <w:tab w:val="left" w:pos="6480"/>
      </w:tabs>
      <w:spacing w:before="240" w:after="60"/>
      <w:outlineLvl w:val="6"/>
    </w:pPr>
    <w:rPr>
      <w:sz w:val="20"/>
      <w:lang w:val="en-GB"/>
    </w:rPr>
  </w:style>
  <w:style w:type="paragraph" w:styleId="Heading8">
    <w:name w:val="heading 8"/>
    <w:basedOn w:val="Normal"/>
    <w:next w:val="Normal"/>
    <w:qFormat/>
    <w:rsid w:val="00F948FE"/>
    <w:pPr>
      <w:numPr>
        <w:ilvl w:val="7"/>
        <w:numId w:val="1"/>
      </w:numPr>
      <w:tabs>
        <w:tab w:val="left" w:pos="-1440"/>
        <w:tab w:val="left" w:pos="2160"/>
        <w:tab w:val="left" w:pos="2880"/>
        <w:tab w:val="left" w:pos="3600"/>
        <w:tab w:val="left" w:pos="5040"/>
        <w:tab w:val="left" w:pos="5760"/>
        <w:tab w:val="left" w:pos="6480"/>
        <w:tab w:val="left" w:pos="7200"/>
      </w:tabs>
      <w:spacing w:before="240" w:after="60"/>
      <w:outlineLvl w:val="7"/>
    </w:pPr>
    <w:rPr>
      <w:i/>
      <w:sz w:val="20"/>
      <w:lang w:val="en-GB"/>
    </w:rPr>
  </w:style>
  <w:style w:type="paragraph" w:styleId="Heading9">
    <w:name w:val="heading 9"/>
    <w:basedOn w:val="Normal"/>
    <w:next w:val="Normal"/>
    <w:qFormat/>
    <w:rsid w:val="00F948FE"/>
    <w:pPr>
      <w:numPr>
        <w:ilvl w:val="8"/>
        <w:numId w:val="1"/>
      </w:numPr>
      <w:tabs>
        <w:tab w:val="left" w:pos="-1440"/>
        <w:tab w:val="left" w:pos="2160"/>
        <w:tab w:val="left" w:pos="2880"/>
        <w:tab w:val="left" w:pos="3600"/>
        <w:tab w:val="left" w:pos="5040"/>
        <w:tab w:val="left" w:pos="5760"/>
        <w:tab w:val="left" w:pos="6480"/>
        <w:tab w:val="left" w:pos="7200"/>
      </w:tabs>
      <w:spacing w:before="240" w:after="60"/>
      <w:outlineLvl w:val="8"/>
    </w:pPr>
    <w:rPr>
      <w:b/>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0015"/>
    <w:pPr>
      <w:tabs>
        <w:tab w:val="center" w:pos="4320"/>
        <w:tab w:val="right" w:pos="8640"/>
      </w:tabs>
    </w:pPr>
  </w:style>
  <w:style w:type="paragraph" w:styleId="Footer">
    <w:name w:val="footer"/>
    <w:basedOn w:val="Normal"/>
    <w:rsid w:val="00DC0015"/>
    <w:pPr>
      <w:tabs>
        <w:tab w:val="center" w:pos="4320"/>
        <w:tab w:val="right" w:pos="8640"/>
      </w:tabs>
    </w:pPr>
  </w:style>
  <w:style w:type="character" w:styleId="PageNumber">
    <w:name w:val="page number"/>
    <w:basedOn w:val="DefaultParagraphFont"/>
    <w:rsid w:val="00275A7D"/>
  </w:style>
  <w:style w:type="paragraph" w:customStyle="1" w:styleId="Heading3LeftChar">
    <w:name w:val="Heading 3 + Left Char"/>
    <w:basedOn w:val="Heading3"/>
    <w:link w:val="Heading3LeftCharChar"/>
    <w:rsid w:val="00DC0015"/>
    <w:pPr>
      <w:tabs>
        <w:tab w:val="left" w:pos="440"/>
        <w:tab w:val="left" w:pos="880"/>
        <w:tab w:val="right" w:pos="9020"/>
      </w:tabs>
      <w:spacing w:after="0"/>
    </w:pPr>
    <w:rPr>
      <w:lang w:val="en-NZ"/>
    </w:rPr>
  </w:style>
  <w:style w:type="character" w:customStyle="1" w:styleId="Heading3LeftCharChar">
    <w:name w:val="Heading 3 + Left Char Char"/>
    <w:link w:val="Heading3LeftChar"/>
    <w:rsid w:val="00DC0015"/>
    <w:rPr>
      <w:rFonts w:ascii="Arial" w:hAnsi="Arial" w:cs="Arial"/>
      <w:bCs/>
      <w:sz w:val="22"/>
      <w:szCs w:val="22"/>
      <w:lang w:eastAsia="en-US"/>
    </w:rPr>
  </w:style>
  <w:style w:type="paragraph" w:styleId="BodyText">
    <w:name w:val="Body Text"/>
    <w:basedOn w:val="Normal"/>
    <w:link w:val="BodyTextChar"/>
    <w:rsid w:val="0086429D"/>
    <w:pPr>
      <w:spacing w:before="120" w:after="120"/>
      <w:ind w:left="720"/>
    </w:pPr>
    <w:rPr>
      <w:lang w:val="en-GB"/>
    </w:rPr>
  </w:style>
  <w:style w:type="paragraph" w:styleId="TOC1">
    <w:name w:val="toc 1"/>
    <w:basedOn w:val="Normal"/>
    <w:next w:val="Normal"/>
    <w:autoRedefine/>
    <w:uiPriority w:val="39"/>
    <w:qFormat/>
    <w:rsid w:val="009C3F69"/>
    <w:pPr>
      <w:tabs>
        <w:tab w:val="left" w:pos="480"/>
        <w:tab w:val="right" w:leader="dot" w:pos="9016"/>
      </w:tabs>
      <w:spacing w:before="160" w:after="120"/>
      <w:ind w:left="426" w:hanging="426"/>
    </w:pPr>
    <w:rPr>
      <w:b/>
      <w:noProof/>
    </w:rPr>
  </w:style>
  <w:style w:type="paragraph" w:styleId="TOC2">
    <w:name w:val="toc 2"/>
    <w:basedOn w:val="Normal"/>
    <w:next w:val="Normal"/>
    <w:autoRedefine/>
    <w:uiPriority w:val="39"/>
    <w:qFormat/>
    <w:rsid w:val="009B367B"/>
    <w:pPr>
      <w:tabs>
        <w:tab w:val="left" w:pos="-1560"/>
        <w:tab w:val="right" w:leader="dot" w:pos="9016"/>
      </w:tabs>
      <w:spacing w:after="80"/>
      <w:ind w:left="1134" w:hanging="708"/>
    </w:pPr>
    <w:rPr>
      <w:noProof/>
      <w:sz w:val="20"/>
    </w:rPr>
  </w:style>
  <w:style w:type="paragraph" w:styleId="TOC3">
    <w:name w:val="toc 3"/>
    <w:basedOn w:val="Normal"/>
    <w:next w:val="Normal"/>
    <w:autoRedefine/>
    <w:uiPriority w:val="39"/>
    <w:qFormat/>
    <w:rsid w:val="000161F0"/>
    <w:pPr>
      <w:tabs>
        <w:tab w:val="left" w:pos="770"/>
        <w:tab w:val="right" w:leader="dot" w:pos="9016"/>
      </w:tabs>
      <w:ind w:left="440"/>
    </w:pPr>
  </w:style>
  <w:style w:type="character" w:styleId="Hyperlink">
    <w:name w:val="Hyperlink"/>
    <w:uiPriority w:val="99"/>
    <w:rsid w:val="00DA6C2F"/>
    <w:rPr>
      <w:u w:val="single"/>
    </w:rPr>
  </w:style>
  <w:style w:type="paragraph" w:styleId="ListParagraph">
    <w:name w:val="List Paragraph"/>
    <w:basedOn w:val="Normal"/>
    <w:uiPriority w:val="34"/>
    <w:qFormat/>
    <w:rsid w:val="00642D34"/>
    <w:pPr>
      <w:spacing w:after="200" w:line="276" w:lineRule="auto"/>
      <w:ind w:left="720"/>
      <w:contextualSpacing/>
    </w:pPr>
    <w:rPr>
      <w:rFonts w:ascii="Calibri" w:eastAsia="Calibri" w:hAnsi="Calibri" w:cs="Times New Roman"/>
    </w:rPr>
  </w:style>
  <w:style w:type="character" w:customStyle="1" w:styleId="Heading1Char">
    <w:name w:val="Heading 1 Char"/>
    <w:basedOn w:val="DefaultParagraphFont"/>
    <w:link w:val="Heading1"/>
    <w:uiPriority w:val="9"/>
    <w:rsid w:val="009403DE"/>
    <w:rPr>
      <w:rFonts w:ascii="Arial Bold" w:hAnsi="Arial Bold" w:cs="Arial"/>
      <w:b/>
      <w:color w:val="17365D"/>
      <w:kern w:val="28"/>
      <w:sz w:val="24"/>
      <w:szCs w:val="22"/>
      <w:lang w:val="en-GB" w:eastAsia="en-US"/>
    </w:rPr>
  </w:style>
  <w:style w:type="paragraph" w:styleId="BalloonText">
    <w:name w:val="Balloon Text"/>
    <w:basedOn w:val="Normal"/>
    <w:link w:val="BalloonTextChar"/>
    <w:rsid w:val="009403DE"/>
    <w:rPr>
      <w:rFonts w:ascii="Tahoma" w:hAnsi="Tahoma" w:cs="Tahoma"/>
      <w:sz w:val="16"/>
      <w:szCs w:val="16"/>
    </w:rPr>
  </w:style>
  <w:style w:type="character" w:customStyle="1" w:styleId="BalloonTextChar">
    <w:name w:val="Balloon Text Char"/>
    <w:basedOn w:val="DefaultParagraphFont"/>
    <w:link w:val="BalloonText"/>
    <w:rsid w:val="009403DE"/>
    <w:rPr>
      <w:rFonts w:ascii="Tahoma" w:hAnsi="Tahoma" w:cs="Tahoma"/>
      <w:sz w:val="16"/>
      <w:szCs w:val="16"/>
      <w:lang w:eastAsia="en-US"/>
    </w:rPr>
  </w:style>
  <w:style w:type="paragraph" w:styleId="EndnoteText">
    <w:name w:val="endnote text"/>
    <w:basedOn w:val="Normal"/>
    <w:link w:val="EndnoteTextChar"/>
    <w:rsid w:val="009403DE"/>
    <w:rPr>
      <w:sz w:val="20"/>
      <w:szCs w:val="20"/>
    </w:rPr>
  </w:style>
  <w:style w:type="character" w:customStyle="1" w:styleId="EndnoteTextChar">
    <w:name w:val="Endnote Text Char"/>
    <w:basedOn w:val="DefaultParagraphFont"/>
    <w:link w:val="EndnoteText"/>
    <w:rsid w:val="009403DE"/>
    <w:rPr>
      <w:rFonts w:ascii="Arial" w:hAnsi="Arial" w:cs="Arial"/>
      <w:lang w:eastAsia="en-US"/>
    </w:rPr>
  </w:style>
  <w:style w:type="character" w:styleId="EndnoteReference">
    <w:name w:val="endnote reference"/>
    <w:basedOn w:val="DefaultParagraphFont"/>
    <w:rsid w:val="009403DE"/>
    <w:rPr>
      <w:vertAlign w:val="superscript"/>
    </w:rPr>
  </w:style>
  <w:style w:type="paragraph" w:styleId="FootnoteText">
    <w:name w:val="footnote text"/>
    <w:basedOn w:val="Normal"/>
    <w:link w:val="FootnoteTextChar"/>
    <w:rsid w:val="009403DE"/>
    <w:rPr>
      <w:sz w:val="20"/>
      <w:szCs w:val="20"/>
    </w:rPr>
  </w:style>
  <w:style w:type="character" w:customStyle="1" w:styleId="FootnoteTextChar">
    <w:name w:val="Footnote Text Char"/>
    <w:basedOn w:val="DefaultParagraphFont"/>
    <w:link w:val="FootnoteText"/>
    <w:rsid w:val="009403DE"/>
    <w:rPr>
      <w:rFonts w:ascii="Arial" w:hAnsi="Arial" w:cs="Arial"/>
      <w:lang w:eastAsia="en-US"/>
    </w:rPr>
  </w:style>
  <w:style w:type="character" w:styleId="FootnoteReference">
    <w:name w:val="footnote reference"/>
    <w:basedOn w:val="DefaultParagraphFont"/>
    <w:rsid w:val="009403DE"/>
    <w:rPr>
      <w:vertAlign w:val="superscript"/>
    </w:rPr>
  </w:style>
  <w:style w:type="table" w:styleId="TableGrid">
    <w:name w:val="Table Grid"/>
    <w:basedOn w:val="TableNormal"/>
    <w:rsid w:val="00DC38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C024C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bullet1">
    <w:name w:val="bullet 1"/>
    <w:basedOn w:val="Normal"/>
    <w:rsid w:val="000852E8"/>
    <w:pPr>
      <w:numPr>
        <w:numId w:val="5"/>
      </w:numPr>
      <w:suppressAutoHyphens/>
      <w:autoSpaceDE w:val="0"/>
      <w:autoSpaceDN w:val="0"/>
      <w:adjustRightInd w:val="0"/>
      <w:spacing w:before="120" w:line="280" w:lineRule="atLeast"/>
      <w:textAlignment w:val="center"/>
    </w:pPr>
    <w:rPr>
      <w:rFonts w:cs="Arial (TT)"/>
      <w:color w:val="54534C"/>
      <w:lang w:val="en-US" w:eastAsia="en-NZ"/>
    </w:rPr>
  </w:style>
  <w:style w:type="paragraph" w:styleId="TOCHeading">
    <w:name w:val="TOC Heading"/>
    <w:basedOn w:val="Heading1"/>
    <w:next w:val="Normal"/>
    <w:uiPriority w:val="39"/>
    <w:semiHidden/>
    <w:unhideWhenUsed/>
    <w:qFormat/>
    <w:rsid w:val="0033729F"/>
    <w:pPr>
      <w:keepNext/>
      <w:keepLines/>
      <w:numPr>
        <w:numId w:val="0"/>
      </w:numPr>
      <w:pBdr>
        <w:bottom w:val="none" w:sz="0" w:space="0" w:color="auto"/>
      </w:pBdr>
      <w:tabs>
        <w:tab w:val="clear" w:pos="-1440"/>
        <w:tab w:val="clear" w:pos="2160"/>
        <w:tab w:val="clear" w:pos="2880"/>
        <w:tab w:val="clear" w:pos="3600"/>
        <w:tab w:val="clear" w:pos="5040"/>
        <w:tab w:val="clear" w:pos="5760"/>
        <w:tab w:val="clear" w:pos="6480"/>
        <w:tab w:val="clear" w:pos="7200"/>
      </w:tabs>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character" w:styleId="Emphasis">
    <w:name w:val="Emphasis"/>
    <w:basedOn w:val="DefaultParagraphFont"/>
    <w:qFormat/>
    <w:rsid w:val="00B03D7D"/>
    <w:rPr>
      <w:i/>
      <w:iCs/>
    </w:rPr>
  </w:style>
  <w:style w:type="character" w:customStyle="1" w:styleId="BodyTextChar">
    <w:name w:val="Body Text Char"/>
    <w:basedOn w:val="DefaultParagraphFont"/>
    <w:link w:val="BodyText"/>
    <w:rsid w:val="00041DC6"/>
    <w:rPr>
      <w:rFonts w:ascii="Arial" w:hAnsi="Arial" w:cs="Arial"/>
      <w:sz w:val="22"/>
      <w:szCs w:val="22"/>
      <w:lang w:val="en-GB" w:eastAsia="en-US"/>
    </w:rPr>
  </w:style>
  <w:style w:type="paragraph" w:styleId="NormalWeb">
    <w:name w:val="Normal (Web)"/>
    <w:basedOn w:val="Normal"/>
    <w:uiPriority w:val="99"/>
    <w:unhideWhenUsed/>
    <w:rsid w:val="004E130B"/>
    <w:pPr>
      <w:spacing w:before="100" w:beforeAutospacing="1" w:after="100" w:afterAutospacing="1"/>
    </w:pPr>
    <w:rPr>
      <w:rFonts w:ascii="Times New Roman" w:eastAsiaTheme="minorEastAsia"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471624">
      <w:bodyDiv w:val="1"/>
      <w:marLeft w:val="0"/>
      <w:marRight w:val="0"/>
      <w:marTop w:val="0"/>
      <w:marBottom w:val="0"/>
      <w:divBdr>
        <w:top w:val="none" w:sz="0" w:space="0" w:color="auto"/>
        <w:left w:val="none" w:sz="0" w:space="0" w:color="auto"/>
        <w:bottom w:val="none" w:sz="0" w:space="0" w:color="auto"/>
        <w:right w:val="none" w:sz="0" w:space="0" w:color="auto"/>
      </w:divBdr>
    </w:div>
    <w:div w:id="562789273">
      <w:bodyDiv w:val="1"/>
      <w:marLeft w:val="0"/>
      <w:marRight w:val="0"/>
      <w:marTop w:val="0"/>
      <w:marBottom w:val="0"/>
      <w:divBdr>
        <w:top w:val="none" w:sz="0" w:space="0" w:color="auto"/>
        <w:left w:val="none" w:sz="0" w:space="0" w:color="auto"/>
        <w:bottom w:val="none" w:sz="0" w:space="0" w:color="auto"/>
        <w:right w:val="none" w:sz="0" w:space="0" w:color="auto"/>
      </w:divBdr>
    </w:div>
    <w:div w:id="665326658">
      <w:bodyDiv w:val="1"/>
      <w:marLeft w:val="0"/>
      <w:marRight w:val="0"/>
      <w:marTop w:val="0"/>
      <w:marBottom w:val="0"/>
      <w:divBdr>
        <w:top w:val="none" w:sz="0" w:space="0" w:color="auto"/>
        <w:left w:val="none" w:sz="0" w:space="0" w:color="auto"/>
        <w:bottom w:val="none" w:sz="0" w:space="0" w:color="auto"/>
        <w:right w:val="none" w:sz="0" w:space="0" w:color="auto"/>
      </w:divBdr>
    </w:div>
    <w:div w:id="821040976">
      <w:bodyDiv w:val="1"/>
      <w:marLeft w:val="0"/>
      <w:marRight w:val="0"/>
      <w:marTop w:val="0"/>
      <w:marBottom w:val="0"/>
      <w:divBdr>
        <w:top w:val="none" w:sz="0" w:space="0" w:color="auto"/>
        <w:left w:val="none" w:sz="0" w:space="0" w:color="auto"/>
        <w:bottom w:val="none" w:sz="0" w:space="0" w:color="auto"/>
        <w:right w:val="none" w:sz="0" w:space="0" w:color="auto"/>
      </w:divBdr>
    </w:div>
    <w:div w:id="851337922">
      <w:bodyDiv w:val="1"/>
      <w:marLeft w:val="0"/>
      <w:marRight w:val="0"/>
      <w:marTop w:val="0"/>
      <w:marBottom w:val="0"/>
      <w:divBdr>
        <w:top w:val="none" w:sz="0" w:space="0" w:color="auto"/>
        <w:left w:val="none" w:sz="0" w:space="0" w:color="auto"/>
        <w:bottom w:val="none" w:sz="0" w:space="0" w:color="auto"/>
        <w:right w:val="none" w:sz="0" w:space="0" w:color="auto"/>
      </w:divBdr>
    </w:div>
    <w:div w:id="178916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org/esa/population/publications/worldageing19502050/pdf/80chapterii.pdf" TargetMode="External"/><Relationship Id="rId18" Type="http://schemas.openxmlformats.org/officeDocument/2006/relationships/image" Target="media/image4.jpeg"/><Relationship Id="rId26" Type="http://schemas.openxmlformats.org/officeDocument/2006/relationships/chart" Target="charts/chart5.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diagramQuickStyle" Target="diagrams/quickStyl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hart" Target="charts/chart2.xml"/><Relationship Id="rId25" Type="http://schemas.openxmlformats.org/officeDocument/2006/relationships/chart" Target="charts/chart4.xml"/><Relationship Id="rId33" Type="http://schemas.openxmlformats.org/officeDocument/2006/relationships/diagramLayout" Target="diagrams/layout1.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image" Target="media/image6.jpe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hart" Target="charts/chart3.xml"/><Relationship Id="rId32" Type="http://schemas.openxmlformats.org/officeDocument/2006/relationships/diagramData" Target="diagrams/data1.xml"/><Relationship Id="rId37" Type="http://schemas.openxmlformats.org/officeDocument/2006/relationships/image" Target="media/image13.png"/><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image" Target="media/image9.jpeg"/><Relationship Id="rId28" Type="http://schemas.openxmlformats.org/officeDocument/2006/relationships/chart" Target="charts/chart7.xml"/><Relationship Id="rId36" Type="http://schemas.microsoft.com/office/2007/relationships/diagramDrawing" Target="diagrams/drawing1.xml"/><Relationship Id="rId10" Type="http://schemas.openxmlformats.org/officeDocument/2006/relationships/header" Target="header1.xml"/><Relationship Id="rId19" Type="http://schemas.openxmlformats.org/officeDocument/2006/relationships/image" Target="media/image5.jpeg"/><Relationship Id="rId31" Type="http://schemas.openxmlformats.org/officeDocument/2006/relationships/image" Target="media/image1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jpeg"/><Relationship Id="rId22" Type="http://schemas.openxmlformats.org/officeDocument/2006/relationships/image" Target="media/image8.jpeg"/><Relationship Id="rId27" Type="http://schemas.openxmlformats.org/officeDocument/2006/relationships/chart" Target="charts/chart6.xml"/><Relationship Id="rId30" Type="http://schemas.openxmlformats.org/officeDocument/2006/relationships/image" Target="media/image11.png"/><Relationship Id="rId35" Type="http://schemas.openxmlformats.org/officeDocument/2006/relationships/diagramColors" Target="diagrams/colors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rmd.STARNET\ObjHome\Objects\.Maori-Population-Estimates-2011(NZ).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cmm\ObjHome\Objects\.Maori%20population%20projections%20(2021)%20-%20WBOP,%20TCC,%20Sub-Region.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cmm\ObjHome\Objects\.Maori-Population-Estimates-2011(NZ).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Users\cmm\ObjHome\Objects\.Maori%20population%20projections%20(2021)%20-%20WBOP,%20TCC,%20Sub-Region.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C:\Users\cmm\ObjHome\Objects\.Maori-Population-Estimates-2011(NZ).xlsx" TargetMode="Externa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oleObject" Target="file:///C:\Users\cmm\ObjHome\Objects\.Maori%20population%20projections%20(2021)%20-%20WBOP,%20TCC,%20Sub-Region.xlsx" TargetMode="External"/><Relationship Id="rId1" Type="http://schemas.openxmlformats.org/officeDocument/2006/relationships/themeOverride" Target="../theme/themeOverride1.xml"/></Relationships>
</file>

<file path=word/charts/_rels/chart7.xml.rels><?xml version="1.0" encoding="UTF-8" standalone="yes"?>
<Relationships xmlns="http://schemas.openxmlformats.org/package/2006/relationships"><Relationship Id="rId1" Type="http://schemas.openxmlformats.org/officeDocument/2006/relationships/oleObject" Target="file:///C:\Users\rmd\ObjHome\Objects\Projected%20Population%20Cross-over%20(years%200-14%20and%206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5"/>
    </mc:Choice>
    <mc:Fallback>
      <c:style val="25"/>
    </mc:Fallback>
  </mc:AlternateContent>
  <c:chart>
    <c:autoTitleDeleted val="0"/>
    <c:plotArea>
      <c:layout>
        <c:manualLayout>
          <c:layoutTarget val="inner"/>
          <c:xMode val="edge"/>
          <c:yMode val="edge"/>
          <c:x val="0.12474152687435809"/>
          <c:y val="0.10582882310001739"/>
          <c:w val="0.82019331279242269"/>
          <c:h val="0.80875475981529588"/>
        </c:manualLayout>
      </c:layout>
      <c:barChart>
        <c:barDir val="bar"/>
        <c:grouping val="clustered"/>
        <c:varyColors val="0"/>
        <c:ser>
          <c:idx val="0"/>
          <c:order val="0"/>
          <c:invertIfNegative val="0"/>
          <c:cat>
            <c:strRef>
              <c:f>'%'!$I$6:$I$23</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85&gt;</c:v>
                </c:pt>
              </c:strCache>
            </c:strRef>
          </c:cat>
          <c:val>
            <c:numRef>
              <c:f>'%'!$J$6:$J$23</c:f>
              <c:numCache>
                <c:formatCode>0.0_ ;[Red]\-0.0\ </c:formatCode>
                <c:ptCount val="18"/>
                <c:pt idx="0">
                  <c:v>-14.3</c:v>
                </c:pt>
                <c:pt idx="1">
                  <c:v>-10.9</c:v>
                </c:pt>
                <c:pt idx="2">
                  <c:v>-10.6</c:v>
                </c:pt>
                <c:pt idx="3">
                  <c:v>-10.5</c:v>
                </c:pt>
                <c:pt idx="4">
                  <c:v>-8.9</c:v>
                </c:pt>
                <c:pt idx="5">
                  <c:v>-6.1</c:v>
                </c:pt>
                <c:pt idx="6">
                  <c:v>-5.9</c:v>
                </c:pt>
                <c:pt idx="7">
                  <c:v>-5.9</c:v>
                </c:pt>
                <c:pt idx="8">
                  <c:v>-5.8</c:v>
                </c:pt>
                <c:pt idx="9">
                  <c:v>-5.5</c:v>
                </c:pt>
                <c:pt idx="10">
                  <c:v>-4.8</c:v>
                </c:pt>
                <c:pt idx="11">
                  <c:v>-3.6</c:v>
                </c:pt>
                <c:pt idx="12">
                  <c:v>-2.8</c:v>
                </c:pt>
                <c:pt idx="13">
                  <c:v>-1.8</c:v>
                </c:pt>
                <c:pt idx="14">
                  <c:v>-1.3</c:v>
                </c:pt>
                <c:pt idx="15">
                  <c:v>-0.8</c:v>
                </c:pt>
                <c:pt idx="16">
                  <c:v>-0.4</c:v>
                </c:pt>
                <c:pt idx="17">
                  <c:v>-0.2</c:v>
                </c:pt>
              </c:numCache>
            </c:numRef>
          </c:val>
        </c:ser>
        <c:ser>
          <c:idx val="1"/>
          <c:order val="1"/>
          <c:invertIfNegative val="0"/>
          <c:cat>
            <c:strRef>
              <c:f>'%'!$I$6:$I$23</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85&gt;</c:v>
                </c:pt>
              </c:strCache>
            </c:strRef>
          </c:cat>
          <c:val>
            <c:numRef>
              <c:f>'%'!$K$6:$K$23</c:f>
              <c:numCache>
                <c:formatCode>0.0</c:formatCode>
                <c:ptCount val="18"/>
                <c:pt idx="0">
                  <c:v>12.9</c:v>
                </c:pt>
                <c:pt idx="1">
                  <c:v>10</c:v>
                </c:pt>
                <c:pt idx="2">
                  <c:v>9.8000000000000007</c:v>
                </c:pt>
                <c:pt idx="3">
                  <c:v>9.5</c:v>
                </c:pt>
                <c:pt idx="4">
                  <c:v>8.6</c:v>
                </c:pt>
                <c:pt idx="5">
                  <c:v>6.5</c:v>
                </c:pt>
                <c:pt idx="6">
                  <c:v>6.5</c:v>
                </c:pt>
                <c:pt idx="7">
                  <c:v>6.6</c:v>
                </c:pt>
                <c:pt idx="8">
                  <c:v>6.4</c:v>
                </c:pt>
                <c:pt idx="9">
                  <c:v>6</c:v>
                </c:pt>
                <c:pt idx="10">
                  <c:v>5.2</c:v>
                </c:pt>
                <c:pt idx="11">
                  <c:v>3.8</c:v>
                </c:pt>
                <c:pt idx="12">
                  <c:v>3</c:v>
                </c:pt>
                <c:pt idx="13">
                  <c:v>1.9</c:v>
                </c:pt>
                <c:pt idx="14">
                  <c:v>1.5</c:v>
                </c:pt>
                <c:pt idx="15">
                  <c:v>0.9</c:v>
                </c:pt>
                <c:pt idx="16">
                  <c:v>0.5</c:v>
                </c:pt>
                <c:pt idx="17">
                  <c:v>0.3</c:v>
                </c:pt>
              </c:numCache>
            </c:numRef>
          </c:val>
        </c:ser>
        <c:dLbls>
          <c:showLegendKey val="0"/>
          <c:showVal val="0"/>
          <c:showCatName val="0"/>
          <c:showSerName val="0"/>
          <c:showPercent val="0"/>
          <c:showBubbleSize val="0"/>
        </c:dLbls>
        <c:gapWidth val="0"/>
        <c:overlap val="100"/>
        <c:axId val="55148544"/>
        <c:axId val="55150080"/>
      </c:barChart>
      <c:catAx>
        <c:axId val="55148544"/>
        <c:scaling>
          <c:orientation val="minMax"/>
        </c:scaling>
        <c:delete val="0"/>
        <c:axPos val="l"/>
        <c:majorTickMark val="out"/>
        <c:minorTickMark val="none"/>
        <c:tickLblPos val="low"/>
        <c:crossAx val="55150080"/>
        <c:crosses val="autoZero"/>
        <c:auto val="1"/>
        <c:lblAlgn val="ctr"/>
        <c:lblOffset val="100"/>
        <c:noMultiLvlLbl val="0"/>
      </c:catAx>
      <c:valAx>
        <c:axId val="55150080"/>
        <c:scaling>
          <c:orientation val="minMax"/>
          <c:min val="-15"/>
        </c:scaling>
        <c:delete val="0"/>
        <c:axPos val="b"/>
        <c:majorGridlines/>
        <c:numFmt formatCode="0.0_ ;[Red]\-0.0\ " sourceLinked="1"/>
        <c:majorTickMark val="out"/>
        <c:minorTickMark val="none"/>
        <c:tickLblPos val="nextTo"/>
        <c:crossAx val="55148544"/>
        <c:crosses val="autoZero"/>
        <c:crossBetween val="between"/>
      </c:valAx>
    </c:plotArea>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5"/>
    </mc:Choice>
    <mc:Fallback>
      <c:style val="25"/>
    </mc:Fallback>
  </mc:AlternateContent>
  <c:chart>
    <c:title>
      <c:tx>
        <c:rich>
          <a:bodyPr/>
          <a:lstStyle/>
          <a:p>
            <a:pPr>
              <a:defRPr/>
            </a:pPr>
            <a:r>
              <a:rPr lang="en-US" sz="1100"/>
              <a:t>New Zealand Maori (2021)</a:t>
            </a:r>
          </a:p>
        </c:rich>
      </c:tx>
      <c:layout>
        <c:manualLayout>
          <c:xMode val="edge"/>
          <c:yMode val="edge"/>
          <c:x val="0.20652341534231297"/>
          <c:y val="3.6632971554231397E-2"/>
        </c:manualLayout>
      </c:layout>
      <c:overlay val="0"/>
    </c:title>
    <c:autoTitleDeleted val="0"/>
    <c:plotArea>
      <c:layout/>
      <c:barChart>
        <c:barDir val="bar"/>
        <c:grouping val="clustered"/>
        <c:varyColors val="0"/>
        <c:ser>
          <c:idx val="0"/>
          <c:order val="0"/>
          <c:tx>
            <c:strRef>
              <c:f>'Medium Regions'!$K$665</c:f>
              <c:strCache>
                <c:ptCount val="1"/>
                <c:pt idx="0">
                  <c:v>Male</c:v>
                </c:pt>
              </c:strCache>
            </c:strRef>
          </c:tx>
          <c:invertIfNegative val="0"/>
          <c:cat>
            <c:strRef>
              <c:f>'Medium Regions'!$J$667:$J$684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85&gt;</c:v>
                </c:pt>
              </c:strCache>
            </c:strRef>
          </c:cat>
          <c:val>
            <c:numRef>
              <c:f>'Medium Regions'!$K$667:$K$684</c:f>
              <c:numCache>
                <c:formatCode>0.0</c:formatCode>
                <c:ptCount val="18"/>
                <c:pt idx="0">
                  <c:v>-11.8</c:v>
                </c:pt>
                <c:pt idx="1">
                  <c:v>-11.7</c:v>
                </c:pt>
                <c:pt idx="2">
                  <c:v>-11.7</c:v>
                </c:pt>
                <c:pt idx="3">
                  <c:v>-8.9</c:v>
                </c:pt>
                <c:pt idx="4">
                  <c:v>-8.1999999999999993</c:v>
                </c:pt>
                <c:pt idx="5">
                  <c:v>-7.7</c:v>
                </c:pt>
                <c:pt idx="6">
                  <c:v>-6.9</c:v>
                </c:pt>
                <c:pt idx="7">
                  <c:v>-5.0999999999999996</c:v>
                </c:pt>
                <c:pt idx="8">
                  <c:v>-4.7</c:v>
                </c:pt>
                <c:pt idx="9">
                  <c:v>-4.7</c:v>
                </c:pt>
                <c:pt idx="10">
                  <c:v>-4.5</c:v>
                </c:pt>
                <c:pt idx="11">
                  <c:v>-4.2</c:v>
                </c:pt>
                <c:pt idx="12">
                  <c:v>-3.6</c:v>
                </c:pt>
                <c:pt idx="13">
                  <c:v>-2.6</c:v>
                </c:pt>
                <c:pt idx="14">
                  <c:v>-1.8</c:v>
                </c:pt>
                <c:pt idx="15">
                  <c:v>-1</c:v>
                </c:pt>
                <c:pt idx="16">
                  <c:v>-0.6</c:v>
                </c:pt>
                <c:pt idx="17">
                  <c:v>-0.3</c:v>
                </c:pt>
              </c:numCache>
            </c:numRef>
          </c:val>
        </c:ser>
        <c:ser>
          <c:idx val="1"/>
          <c:order val="1"/>
          <c:tx>
            <c:strRef>
              <c:f>'Medium Regions'!$L$665</c:f>
              <c:strCache>
                <c:ptCount val="1"/>
                <c:pt idx="0">
                  <c:v>Female</c:v>
                </c:pt>
              </c:strCache>
            </c:strRef>
          </c:tx>
          <c:invertIfNegative val="0"/>
          <c:cat>
            <c:strRef>
              <c:f>'Medium Regions'!$J$667:$J$684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85&gt;</c:v>
                </c:pt>
              </c:strCache>
            </c:strRef>
          </c:cat>
          <c:val>
            <c:numRef>
              <c:f>'Medium Regions'!$L$667:$L$684</c:f>
              <c:numCache>
                <c:formatCode>0.0</c:formatCode>
                <c:ptCount val="18"/>
                <c:pt idx="0">
                  <c:v>10.9</c:v>
                </c:pt>
                <c:pt idx="1">
                  <c:v>10.8</c:v>
                </c:pt>
                <c:pt idx="2">
                  <c:v>10.8</c:v>
                </c:pt>
                <c:pt idx="3">
                  <c:v>8.1999999999999993</c:v>
                </c:pt>
                <c:pt idx="4">
                  <c:v>7.5</c:v>
                </c:pt>
                <c:pt idx="5">
                  <c:v>7</c:v>
                </c:pt>
                <c:pt idx="6">
                  <c:v>6.9</c:v>
                </c:pt>
                <c:pt idx="7">
                  <c:v>5.6</c:v>
                </c:pt>
                <c:pt idx="8">
                  <c:v>5.3</c:v>
                </c:pt>
                <c:pt idx="9">
                  <c:v>5.3</c:v>
                </c:pt>
                <c:pt idx="10">
                  <c:v>5.2</c:v>
                </c:pt>
                <c:pt idx="11">
                  <c:v>4.8</c:v>
                </c:pt>
                <c:pt idx="12">
                  <c:v>4.0999999999999996</c:v>
                </c:pt>
                <c:pt idx="13">
                  <c:v>2.9</c:v>
                </c:pt>
                <c:pt idx="14">
                  <c:v>2.1</c:v>
                </c:pt>
                <c:pt idx="15">
                  <c:v>1.2</c:v>
                </c:pt>
                <c:pt idx="16">
                  <c:v>0.8</c:v>
                </c:pt>
                <c:pt idx="17">
                  <c:v>0.6</c:v>
                </c:pt>
              </c:numCache>
            </c:numRef>
          </c:val>
        </c:ser>
        <c:dLbls>
          <c:showLegendKey val="0"/>
          <c:showVal val="0"/>
          <c:showCatName val="0"/>
          <c:showSerName val="0"/>
          <c:showPercent val="0"/>
          <c:showBubbleSize val="0"/>
        </c:dLbls>
        <c:gapWidth val="0"/>
        <c:overlap val="100"/>
        <c:axId val="55167616"/>
        <c:axId val="55173504"/>
      </c:barChart>
      <c:catAx>
        <c:axId val="55167616"/>
        <c:scaling>
          <c:orientation val="minMax"/>
        </c:scaling>
        <c:delete val="0"/>
        <c:axPos val="l"/>
        <c:majorTickMark val="out"/>
        <c:minorTickMark val="none"/>
        <c:tickLblPos val="low"/>
        <c:crossAx val="55173504"/>
        <c:crosses val="autoZero"/>
        <c:auto val="1"/>
        <c:lblAlgn val="ctr"/>
        <c:lblOffset val="100"/>
        <c:noMultiLvlLbl val="0"/>
      </c:catAx>
      <c:valAx>
        <c:axId val="55173504"/>
        <c:scaling>
          <c:orientation val="minMax"/>
        </c:scaling>
        <c:delete val="0"/>
        <c:axPos val="b"/>
        <c:majorGridlines/>
        <c:numFmt formatCode="0.0" sourceLinked="1"/>
        <c:majorTickMark val="out"/>
        <c:minorTickMark val="none"/>
        <c:tickLblPos val="nextTo"/>
        <c:crossAx val="55167616"/>
        <c:crosses val="autoZero"/>
        <c:crossBetween val="between"/>
      </c:valAx>
    </c:plotArea>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sz="1100"/>
            </a:pPr>
            <a:r>
              <a:rPr lang="en-US" sz="1100"/>
              <a:t>WBOPD Maori (2011)</a:t>
            </a:r>
          </a:p>
        </c:rich>
      </c:tx>
      <c:layout>
        <c:manualLayout>
          <c:xMode val="edge"/>
          <c:yMode val="edge"/>
          <c:x val="0.37020367929121983"/>
          <c:y val="2.0887728459530026E-2"/>
        </c:manualLayout>
      </c:layout>
      <c:overlay val="0"/>
    </c:title>
    <c:autoTitleDeleted val="0"/>
    <c:plotArea>
      <c:layout/>
      <c:barChart>
        <c:barDir val="bar"/>
        <c:grouping val="clustered"/>
        <c:varyColors val="0"/>
        <c:ser>
          <c:idx val="0"/>
          <c:order val="0"/>
          <c:tx>
            <c:strRef>
              <c:f>'TCC, WBOP 2011 Projected'!$AE$5</c:f>
              <c:strCache>
                <c:ptCount val="1"/>
                <c:pt idx="0">
                  <c:v>Male</c:v>
                </c:pt>
              </c:strCache>
            </c:strRef>
          </c:tx>
          <c:invertIfNegative val="0"/>
          <c:cat>
            <c:strRef>
              <c:f>'TCC, WBOP 2011 Projected'!$AD$7:$AD$24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85&gt;</c:v>
                </c:pt>
              </c:strCache>
            </c:strRef>
          </c:cat>
          <c:val>
            <c:numRef>
              <c:f>'TCC, WBOP 2011 Projected'!$AE$7:$AE$24</c:f>
              <c:numCache>
                <c:formatCode>#,##0.0_ ;[Red]\-#,##0.0\ </c:formatCode>
                <c:ptCount val="18"/>
                <c:pt idx="0">
                  <c:v>-13</c:v>
                </c:pt>
                <c:pt idx="1">
                  <c:v>-10.1</c:v>
                </c:pt>
                <c:pt idx="2">
                  <c:v>-10.8</c:v>
                </c:pt>
                <c:pt idx="3">
                  <c:v>-10.8</c:v>
                </c:pt>
                <c:pt idx="4">
                  <c:v>-7.1</c:v>
                </c:pt>
                <c:pt idx="5">
                  <c:v>-5.2</c:v>
                </c:pt>
                <c:pt idx="6">
                  <c:v>-5.4</c:v>
                </c:pt>
                <c:pt idx="7">
                  <c:v>-4.9000000000000004</c:v>
                </c:pt>
                <c:pt idx="8">
                  <c:v>-5.7</c:v>
                </c:pt>
                <c:pt idx="9">
                  <c:v>-6.1</c:v>
                </c:pt>
                <c:pt idx="10">
                  <c:v>-5.7</c:v>
                </c:pt>
                <c:pt idx="11">
                  <c:v>-4.9000000000000004</c:v>
                </c:pt>
                <c:pt idx="12">
                  <c:v>-3.7</c:v>
                </c:pt>
                <c:pt idx="13">
                  <c:v>-2.7</c:v>
                </c:pt>
                <c:pt idx="14">
                  <c:v>-2.2000000000000002</c:v>
                </c:pt>
                <c:pt idx="15">
                  <c:v>-1</c:v>
                </c:pt>
                <c:pt idx="16">
                  <c:v>-0.5</c:v>
                </c:pt>
                <c:pt idx="17">
                  <c:v>-0.2</c:v>
                </c:pt>
              </c:numCache>
            </c:numRef>
          </c:val>
        </c:ser>
        <c:ser>
          <c:idx val="1"/>
          <c:order val="1"/>
          <c:tx>
            <c:strRef>
              <c:f>'TCC, WBOP 2011 Projected'!$AF$5</c:f>
              <c:strCache>
                <c:ptCount val="1"/>
                <c:pt idx="0">
                  <c:v>Female</c:v>
                </c:pt>
              </c:strCache>
            </c:strRef>
          </c:tx>
          <c:invertIfNegative val="0"/>
          <c:cat>
            <c:strRef>
              <c:f>'TCC, WBOP 2011 Projected'!$AD$7:$AD$24</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85&gt;</c:v>
                </c:pt>
              </c:strCache>
            </c:strRef>
          </c:cat>
          <c:val>
            <c:numRef>
              <c:f>'TCC, WBOP 2011 Projected'!$AF$7:$AF$24</c:f>
              <c:numCache>
                <c:formatCode>#,##0.0</c:formatCode>
                <c:ptCount val="18"/>
                <c:pt idx="0">
                  <c:v>12.1</c:v>
                </c:pt>
                <c:pt idx="1">
                  <c:v>9.3000000000000007</c:v>
                </c:pt>
                <c:pt idx="2">
                  <c:v>10.5</c:v>
                </c:pt>
                <c:pt idx="3">
                  <c:v>8.8000000000000007</c:v>
                </c:pt>
                <c:pt idx="4">
                  <c:v>6.9</c:v>
                </c:pt>
                <c:pt idx="5">
                  <c:v>6</c:v>
                </c:pt>
                <c:pt idx="6">
                  <c:v>5.2</c:v>
                </c:pt>
                <c:pt idx="7">
                  <c:v>6</c:v>
                </c:pt>
                <c:pt idx="8">
                  <c:v>6.4</c:v>
                </c:pt>
                <c:pt idx="9">
                  <c:v>6.4</c:v>
                </c:pt>
                <c:pt idx="10">
                  <c:v>6.2</c:v>
                </c:pt>
                <c:pt idx="11">
                  <c:v>4.8</c:v>
                </c:pt>
                <c:pt idx="12">
                  <c:v>3.6</c:v>
                </c:pt>
                <c:pt idx="13">
                  <c:v>2.9</c:v>
                </c:pt>
                <c:pt idx="14">
                  <c:v>2.4</c:v>
                </c:pt>
                <c:pt idx="15">
                  <c:v>1.2</c:v>
                </c:pt>
                <c:pt idx="16">
                  <c:v>1</c:v>
                </c:pt>
                <c:pt idx="17">
                  <c:v>0.5</c:v>
                </c:pt>
              </c:numCache>
            </c:numRef>
          </c:val>
        </c:ser>
        <c:dLbls>
          <c:showLegendKey val="0"/>
          <c:showVal val="0"/>
          <c:showCatName val="0"/>
          <c:showSerName val="0"/>
          <c:showPercent val="0"/>
          <c:showBubbleSize val="0"/>
        </c:dLbls>
        <c:gapWidth val="0"/>
        <c:overlap val="100"/>
        <c:axId val="64043264"/>
        <c:axId val="64057344"/>
      </c:barChart>
      <c:catAx>
        <c:axId val="64043264"/>
        <c:scaling>
          <c:orientation val="minMax"/>
        </c:scaling>
        <c:delete val="0"/>
        <c:axPos val="l"/>
        <c:majorTickMark val="out"/>
        <c:minorTickMark val="none"/>
        <c:tickLblPos val="low"/>
        <c:crossAx val="64057344"/>
        <c:crosses val="autoZero"/>
        <c:auto val="1"/>
        <c:lblAlgn val="ctr"/>
        <c:lblOffset val="100"/>
        <c:noMultiLvlLbl val="0"/>
      </c:catAx>
      <c:valAx>
        <c:axId val="64057344"/>
        <c:scaling>
          <c:orientation val="minMax"/>
        </c:scaling>
        <c:delete val="0"/>
        <c:axPos val="b"/>
        <c:majorGridlines/>
        <c:numFmt formatCode="#,##0.0_ ;[Red]\-#,##0.0\ " sourceLinked="1"/>
        <c:majorTickMark val="out"/>
        <c:minorTickMark val="none"/>
        <c:tickLblPos val="nextTo"/>
        <c:crossAx val="64043264"/>
        <c:crosses val="autoZero"/>
        <c:crossBetween val="between"/>
      </c:valAx>
    </c:plotArea>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a:lstStyle/>
          <a:p>
            <a:pPr>
              <a:defRPr sz="1100"/>
            </a:pPr>
            <a:r>
              <a:rPr lang="en-US" sz="1100"/>
              <a:t>WBOPD Maori (2021)</a:t>
            </a:r>
          </a:p>
        </c:rich>
      </c:tx>
      <c:overlay val="0"/>
    </c:title>
    <c:autoTitleDeleted val="0"/>
    <c:plotArea>
      <c:layout>
        <c:manualLayout>
          <c:layoutTarget val="inner"/>
          <c:xMode val="edge"/>
          <c:yMode val="edge"/>
          <c:x val="0.11954396325459317"/>
          <c:y val="0.12184184184184184"/>
          <c:w val="0.82768525809273841"/>
          <c:h val="0.76583922505182345"/>
        </c:manualLayout>
      </c:layout>
      <c:barChart>
        <c:barDir val="bar"/>
        <c:grouping val="clustered"/>
        <c:varyColors val="0"/>
        <c:ser>
          <c:idx val="0"/>
          <c:order val="0"/>
          <c:tx>
            <c:strRef>
              <c:f>'Medium TAs'!$AE$663</c:f>
              <c:strCache>
                <c:ptCount val="1"/>
                <c:pt idx="0">
                  <c:v>Male</c:v>
                </c:pt>
              </c:strCache>
            </c:strRef>
          </c:tx>
          <c:invertIfNegative val="0"/>
          <c:cat>
            <c:strRef>
              <c:f>'Medium TAs'!$AD$665:$AD$682</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85&gt;</c:v>
                </c:pt>
              </c:strCache>
            </c:strRef>
          </c:cat>
          <c:val>
            <c:numRef>
              <c:f>'Medium TAs'!$AE$665:$AE$682</c:f>
              <c:numCache>
                <c:formatCode>#,##0.0_ ;[Red]\-#,##0.0\ </c:formatCode>
                <c:ptCount val="18"/>
                <c:pt idx="0">
                  <c:v>-10.9</c:v>
                </c:pt>
                <c:pt idx="1">
                  <c:v>-11.5</c:v>
                </c:pt>
                <c:pt idx="2">
                  <c:v>-11.9</c:v>
                </c:pt>
                <c:pt idx="3">
                  <c:v>-8.5</c:v>
                </c:pt>
                <c:pt idx="4">
                  <c:v>-7</c:v>
                </c:pt>
                <c:pt idx="5">
                  <c:v>-7</c:v>
                </c:pt>
                <c:pt idx="6">
                  <c:v>-5.5</c:v>
                </c:pt>
                <c:pt idx="7">
                  <c:v>-4.5</c:v>
                </c:pt>
                <c:pt idx="8">
                  <c:v>-4.7</c:v>
                </c:pt>
                <c:pt idx="9">
                  <c:v>-4.3</c:v>
                </c:pt>
                <c:pt idx="10">
                  <c:v>-4.9000000000000004</c:v>
                </c:pt>
                <c:pt idx="11">
                  <c:v>-5.0999999999999996</c:v>
                </c:pt>
                <c:pt idx="12">
                  <c:v>-4.7</c:v>
                </c:pt>
                <c:pt idx="13">
                  <c:v>-3.8</c:v>
                </c:pt>
                <c:pt idx="14">
                  <c:v>-2.9</c:v>
                </c:pt>
                <c:pt idx="15">
                  <c:v>-1.7</c:v>
                </c:pt>
                <c:pt idx="16">
                  <c:v>-1.1000000000000001</c:v>
                </c:pt>
                <c:pt idx="17">
                  <c:v>-0.4</c:v>
                </c:pt>
              </c:numCache>
            </c:numRef>
          </c:val>
        </c:ser>
        <c:ser>
          <c:idx val="1"/>
          <c:order val="1"/>
          <c:tx>
            <c:strRef>
              <c:f>'Medium TAs'!$AF$663</c:f>
              <c:strCache>
                <c:ptCount val="1"/>
                <c:pt idx="0">
                  <c:v>Female</c:v>
                </c:pt>
              </c:strCache>
            </c:strRef>
          </c:tx>
          <c:invertIfNegative val="0"/>
          <c:cat>
            <c:strRef>
              <c:f>'Medium TAs'!$AD$665:$AD$682</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85&gt;</c:v>
                </c:pt>
              </c:strCache>
            </c:strRef>
          </c:cat>
          <c:val>
            <c:numRef>
              <c:f>'Medium TAs'!$AF$665:$AF$682</c:f>
              <c:numCache>
                <c:formatCode>#,##0\ \ </c:formatCode>
                <c:ptCount val="18"/>
                <c:pt idx="0">
                  <c:v>10.4</c:v>
                </c:pt>
                <c:pt idx="1">
                  <c:v>10.8</c:v>
                </c:pt>
                <c:pt idx="2">
                  <c:v>11</c:v>
                </c:pt>
                <c:pt idx="3">
                  <c:v>7.5</c:v>
                </c:pt>
                <c:pt idx="4">
                  <c:v>6.6</c:v>
                </c:pt>
                <c:pt idx="5">
                  <c:v>5.8</c:v>
                </c:pt>
                <c:pt idx="6">
                  <c:v>6</c:v>
                </c:pt>
                <c:pt idx="7">
                  <c:v>5.2</c:v>
                </c:pt>
                <c:pt idx="8">
                  <c:v>4.8</c:v>
                </c:pt>
                <c:pt idx="9">
                  <c:v>5.2</c:v>
                </c:pt>
                <c:pt idx="10">
                  <c:v>5.4</c:v>
                </c:pt>
                <c:pt idx="11">
                  <c:v>5.6</c:v>
                </c:pt>
                <c:pt idx="12">
                  <c:v>5.2</c:v>
                </c:pt>
                <c:pt idx="13">
                  <c:v>3.9</c:v>
                </c:pt>
                <c:pt idx="14">
                  <c:v>2.7</c:v>
                </c:pt>
                <c:pt idx="15">
                  <c:v>1.9</c:v>
                </c:pt>
                <c:pt idx="16">
                  <c:v>1.4</c:v>
                </c:pt>
                <c:pt idx="17">
                  <c:v>0.8</c:v>
                </c:pt>
              </c:numCache>
            </c:numRef>
          </c:val>
        </c:ser>
        <c:dLbls>
          <c:showLegendKey val="0"/>
          <c:showVal val="0"/>
          <c:showCatName val="0"/>
          <c:showSerName val="0"/>
          <c:showPercent val="0"/>
          <c:showBubbleSize val="0"/>
        </c:dLbls>
        <c:gapWidth val="0"/>
        <c:overlap val="100"/>
        <c:axId val="64078976"/>
        <c:axId val="64080512"/>
      </c:barChart>
      <c:catAx>
        <c:axId val="64078976"/>
        <c:scaling>
          <c:orientation val="minMax"/>
        </c:scaling>
        <c:delete val="0"/>
        <c:axPos val="l"/>
        <c:majorTickMark val="out"/>
        <c:minorTickMark val="none"/>
        <c:tickLblPos val="low"/>
        <c:crossAx val="64080512"/>
        <c:crosses val="autoZero"/>
        <c:auto val="1"/>
        <c:lblAlgn val="ctr"/>
        <c:lblOffset val="100"/>
        <c:noMultiLvlLbl val="0"/>
      </c:catAx>
      <c:valAx>
        <c:axId val="64080512"/>
        <c:scaling>
          <c:orientation val="minMax"/>
        </c:scaling>
        <c:delete val="0"/>
        <c:axPos val="b"/>
        <c:majorGridlines/>
        <c:numFmt formatCode="#,##0.0_ ;[Red]\-#,##0.0\ " sourceLinked="1"/>
        <c:majorTickMark val="out"/>
        <c:minorTickMark val="none"/>
        <c:tickLblPos val="nextTo"/>
        <c:crossAx val="64078976"/>
        <c:crosses val="autoZero"/>
        <c:crossBetween val="between"/>
      </c:valAx>
    </c:plotArea>
    <c:plotVisOnly val="1"/>
    <c:dispBlanksAs val="gap"/>
    <c:showDLblsOverMax val="0"/>
  </c:chart>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7"/>
    </mc:Choice>
    <mc:Fallback>
      <c:style val="27"/>
    </mc:Fallback>
  </mc:AlternateContent>
  <c:chart>
    <c:title>
      <c:tx>
        <c:rich>
          <a:bodyPr/>
          <a:lstStyle/>
          <a:p>
            <a:pPr>
              <a:defRPr sz="1100"/>
            </a:pPr>
            <a:r>
              <a:rPr lang="en-US" sz="1100"/>
              <a:t>TCC Maori (2011)</a:t>
            </a:r>
          </a:p>
        </c:rich>
      </c:tx>
      <c:layout>
        <c:manualLayout>
          <c:xMode val="edge"/>
          <c:yMode val="edge"/>
          <c:x val="0.43755278817098225"/>
          <c:y val="2.4000654309146198E-2"/>
        </c:manualLayout>
      </c:layout>
      <c:overlay val="0"/>
    </c:title>
    <c:autoTitleDeleted val="0"/>
    <c:plotArea>
      <c:layout>
        <c:manualLayout>
          <c:layoutTarget val="inner"/>
          <c:xMode val="edge"/>
          <c:yMode val="edge"/>
          <c:x val="0.13565272426053127"/>
          <c:y val="0.1224929178470255"/>
          <c:w val="0.80446554109814283"/>
          <c:h val="0.77910612448231509"/>
        </c:manualLayout>
      </c:layout>
      <c:barChart>
        <c:barDir val="bar"/>
        <c:grouping val="clustered"/>
        <c:varyColors val="0"/>
        <c:ser>
          <c:idx val="0"/>
          <c:order val="0"/>
          <c:tx>
            <c:strRef>
              <c:f>'TCC, WBOP 2011 Projected'!$AE$38</c:f>
              <c:strCache>
                <c:ptCount val="1"/>
                <c:pt idx="0">
                  <c:v>Male</c:v>
                </c:pt>
              </c:strCache>
            </c:strRef>
          </c:tx>
          <c:invertIfNegative val="0"/>
          <c:cat>
            <c:strRef>
              <c:f>'TCC, WBOP 2011 Projected'!$AD$40:$AD$57</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85&gt;</c:v>
                </c:pt>
              </c:strCache>
            </c:strRef>
          </c:cat>
          <c:val>
            <c:numRef>
              <c:f>'TCC, WBOP 2011 Projected'!$AE$40:$AE$57</c:f>
              <c:numCache>
                <c:formatCode>0.0_ ;[Red]\-0.0\ </c:formatCode>
                <c:ptCount val="18"/>
                <c:pt idx="0">
                  <c:v>-14.5</c:v>
                </c:pt>
                <c:pt idx="1">
                  <c:v>-12.2</c:v>
                </c:pt>
                <c:pt idx="2">
                  <c:v>-12.1</c:v>
                </c:pt>
                <c:pt idx="3">
                  <c:v>-10.199999999999999</c:v>
                </c:pt>
                <c:pt idx="4">
                  <c:v>-8.6999999999999993</c:v>
                </c:pt>
                <c:pt idx="5">
                  <c:v>-6.9</c:v>
                </c:pt>
                <c:pt idx="6">
                  <c:v>-6.2</c:v>
                </c:pt>
                <c:pt idx="7">
                  <c:v>-5.9</c:v>
                </c:pt>
                <c:pt idx="8">
                  <c:v>-5.4</c:v>
                </c:pt>
                <c:pt idx="9">
                  <c:v>-5</c:v>
                </c:pt>
                <c:pt idx="10">
                  <c:v>-4.3</c:v>
                </c:pt>
                <c:pt idx="11">
                  <c:v>-3</c:v>
                </c:pt>
                <c:pt idx="12">
                  <c:v>-2.1</c:v>
                </c:pt>
                <c:pt idx="13">
                  <c:v>-1.3</c:v>
                </c:pt>
                <c:pt idx="14">
                  <c:v>-1.2</c:v>
                </c:pt>
                <c:pt idx="15">
                  <c:v>-0.6</c:v>
                </c:pt>
                <c:pt idx="16">
                  <c:v>-0.2</c:v>
                </c:pt>
                <c:pt idx="17">
                  <c:v>-0.1</c:v>
                </c:pt>
              </c:numCache>
            </c:numRef>
          </c:val>
        </c:ser>
        <c:ser>
          <c:idx val="1"/>
          <c:order val="1"/>
          <c:tx>
            <c:strRef>
              <c:f>'TCC, WBOP 2011 Projected'!$AF$38</c:f>
              <c:strCache>
                <c:ptCount val="1"/>
                <c:pt idx="0">
                  <c:v>Female</c:v>
                </c:pt>
              </c:strCache>
            </c:strRef>
          </c:tx>
          <c:invertIfNegative val="0"/>
          <c:cat>
            <c:strRef>
              <c:f>'TCC, WBOP 2011 Projected'!$AD$40:$AD$57</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85&gt;</c:v>
                </c:pt>
              </c:strCache>
            </c:strRef>
          </c:cat>
          <c:val>
            <c:numRef>
              <c:f>'TCC, WBOP 2011 Projected'!$AF$40:$AF$57</c:f>
              <c:numCache>
                <c:formatCode>0.0</c:formatCode>
                <c:ptCount val="18"/>
                <c:pt idx="0">
                  <c:v>13.3</c:v>
                </c:pt>
                <c:pt idx="1">
                  <c:v>11.7</c:v>
                </c:pt>
                <c:pt idx="2">
                  <c:v>10.199999999999999</c:v>
                </c:pt>
                <c:pt idx="3">
                  <c:v>9.4</c:v>
                </c:pt>
                <c:pt idx="4">
                  <c:v>8.3000000000000007</c:v>
                </c:pt>
                <c:pt idx="5">
                  <c:v>6.7</c:v>
                </c:pt>
                <c:pt idx="6">
                  <c:v>6.9</c:v>
                </c:pt>
                <c:pt idx="7">
                  <c:v>6.8</c:v>
                </c:pt>
                <c:pt idx="8">
                  <c:v>5.8</c:v>
                </c:pt>
                <c:pt idx="9">
                  <c:v>5.8</c:v>
                </c:pt>
                <c:pt idx="10">
                  <c:v>4.9000000000000004</c:v>
                </c:pt>
                <c:pt idx="11">
                  <c:v>3.6</c:v>
                </c:pt>
                <c:pt idx="12">
                  <c:v>2.4</c:v>
                </c:pt>
                <c:pt idx="13">
                  <c:v>1.6</c:v>
                </c:pt>
                <c:pt idx="14">
                  <c:v>1.3</c:v>
                </c:pt>
                <c:pt idx="15">
                  <c:v>0.8</c:v>
                </c:pt>
                <c:pt idx="16">
                  <c:v>0.4</c:v>
                </c:pt>
                <c:pt idx="17">
                  <c:v>0.2</c:v>
                </c:pt>
              </c:numCache>
            </c:numRef>
          </c:val>
        </c:ser>
        <c:dLbls>
          <c:showLegendKey val="0"/>
          <c:showVal val="0"/>
          <c:showCatName val="0"/>
          <c:showSerName val="0"/>
          <c:showPercent val="0"/>
          <c:showBubbleSize val="0"/>
        </c:dLbls>
        <c:gapWidth val="0"/>
        <c:overlap val="100"/>
        <c:axId val="63770624"/>
        <c:axId val="63772160"/>
      </c:barChart>
      <c:catAx>
        <c:axId val="63770624"/>
        <c:scaling>
          <c:orientation val="minMax"/>
        </c:scaling>
        <c:delete val="0"/>
        <c:axPos val="l"/>
        <c:majorTickMark val="out"/>
        <c:minorTickMark val="none"/>
        <c:tickLblPos val="low"/>
        <c:crossAx val="63772160"/>
        <c:crosses val="autoZero"/>
        <c:auto val="1"/>
        <c:lblAlgn val="ctr"/>
        <c:lblOffset val="100"/>
        <c:noMultiLvlLbl val="0"/>
      </c:catAx>
      <c:valAx>
        <c:axId val="63772160"/>
        <c:scaling>
          <c:orientation val="minMax"/>
        </c:scaling>
        <c:delete val="0"/>
        <c:axPos val="b"/>
        <c:majorGridlines/>
        <c:numFmt formatCode="0.0_ ;[Red]\-0.0\ " sourceLinked="1"/>
        <c:majorTickMark val="out"/>
        <c:minorTickMark val="none"/>
        <c:tickLblPos val="nextTo"/>
        <c:crossAx val="63770624"/>
        <c:crosses val="autoZero"/>
        <c:crossBetween val="between"/>
      </c:valAx>
    </c:plotArea>
    <c:plotVisOnly val="1"/>
    <c:dispBlanksAs val="gap"/>
    <c:showDLblsOverMax val="0"/>
  </c:chart>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7"/>
    </mc:Choice>
    <mc:Fallback>
      <c:style val="27"/>
    </mc:Fallback>
  </mc:AlternateContent>
  <c:clrMapOvr bg1="lt1" tx1="dk1" bg2="lt2" tx2="dk2" accent1="accent1" accent2="accent2" accent3="accent3" accent4="accent4" accent5="accent5" accent6="accent6" hlink="hlink" folHlink="folHlink"/>
  <c:chart>
    <c:title>
      <c:tx>
        <c:rich>
          <a:bodyPr/>
          <a:lstStyle/>
          <a:p>
            <a:pPr>
              <a:defRPr sz="1100"/>
            </a:pPr>
            <a:r>
              <a:rPr lang="en-US" sz="1100"/>
              <a:t>TCC Maori (2021)</a:t>
            </a:r>
          </a:p>
        </c:rich>
      </c:tx>
      <c:layout>
        <c:manualLayout>
          <c:xMode val="edge"/>
          <c:yMode val="edge"/>
          <c:x val="0.46011111111111114"/>
          <c:y val="3.5294117647058823E-2"/>
        </c:manualLayout>
      </c:layout>
      <c:overlay val="0"/>
    </c:title>
    <c:autoTitleDeleted val="0"/>
    <c:plotArea>
      <c:layout/>
      <c:barChart>
        <c:barDir val="bar"/>
        <c:grouping val="clustered"/>
        <c:varyColors val="0"/>
        <c:ser>
          <c:idx val="0"/>
          <c:order val="0"/>
          <c:tx>
            <c:strRef>
              <c:f>'Medium TAs'!$AE$697</c:f>
              <c:strCache>
                <c:ptCount val="1"/>
                <c:pt idx="0">
                  <c:v>Male</c:v>
                </c:pt>
              </c:strCache>
            </c:strRef>
          </c:tx>
          <c:invertIfNegative val="0"/>
          <c:cat>
            <c:strRef>
              <c:f>'Medium TAs'!$AD$699:$AD$716</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85&gt;</c:v>
                </c:pt>
              </c:strCache>
            </c:strRef>
          </c:cat>
          <c:val>
            <c:numRef>
              <c:f>'Medium TAs'!$AE$699:$AE$716</c:f>
              <c:numCache>
                <c:formatCode>#,##0.0_ ;[Red]\-#,##0.0\ </c:formatCode>
                <c:ptCount val="18"/>
                <c:pt idx="0">
                  <c:v>-12.3</c:v>
                </c:pt>
                <c:pt idx="1">
                  <c:v>-12.8</c:v>
                </c:pt>
                <c:pt idx="2">
                  <c:v>-12.8</c:v>
                </c:pt>
                <c:pt idx="3">
                  <c:v>-10</c:v>
                </c:pt>
                <c:pt idx="4">
                  <c:v>-9.1999999999999993</c:v>
                </c:pt>
                <c:pt idx="5">
                  <c:v>-7.3</c:v>
                </c:pt>
                <c:pt idx="6">
                  <c:v>-6.5</c:v>
                </c:pt>
                <c:pt idx="7">
                  <c:v>-5.4</c:v>
                </c:pt>
                <c:pt idx="8">
                  <c:v>-4.8</c:v>
                </c:pt>
                <c:pt idx="9">
                  <c:v>-4.4000000000000004</c:v>
                </c:pt>
                <c:pt idx="10">
                  <c:v>-4</c:v>
                </c:pt>
                <c:pt idx="11">
                  <c:v>-3.6</c:v>
                </c:pt>
                <c:pt idx="12">
                  <c:v>-2.9</c:v>
                </c:pt>
                <c:pt idx="13">
                  <c:v>-1.9</c:v>
                </c:pt>
                <c:pt idx="14">
                  <c:v>-1.1000000000000001</c:v>
                </c:pt>
                <c:pt idx="15">
                  <c:v>-0.6</c:v>
                </c:pt>
                <c:pt idx="16">
                  <c:v>-0.4</c:v>
                </c:pt>
                <c:pt idx="17">
                  <c:v>-0.1</c:v>
                </c:pt>
              </c:numCache>
            </c:numRef>
          </c:val>
        </c:ser>
        <c:ser>
          <c:idx val="1"/>
          <c:order val="1"/>
          <c:tx>
            <c:strRef>
              <c:f>'Medium TAs'!$AF$697</c:f>
              <c:strCache>
                <c:ptCount val="1"/>
                <c:pt idx="0">
                  <c:v>Female</c:v>
                </c:pt>
              </c:strCache>
            </c:strRef>
          </c:tx>
          <c:invertIfNegative val="0"/>
          <c:cat>
            <c:strRef>
              <c:f>'Medium TAs'!$AD$699:$AD$716</c:f>
              <c:strCache>
                <c:ptCount val="18"/>
                <c:pt idx="0">
                  <c:v>0-4</c:v>
                </c:pt>
                <c:pt idx="1">
                  <c:v>5–9</c:v>
                </c:pt>
                <c:pt idx="2">
                  <c:v>10–14</c:v>
                </c:pt>
                <c:pt idx="3">
                  <c:v>15–19</c:v>
                </c:pt>
                <c:pt idx="4">
                  <c:v>20–24</c:v>
                </c:pt>
                <c:pt idx="5">
                  <c:v>25–29</c:v>
                </c:pt>
                <c:pt idx="6">
                  <c:v>30–34</c:v>
                </c:pt>
                <c:pt idx="7">
                  <c:v>35–39</c:v>
                </c:pt>
                <c:pt idx="8">
                  <c:v>40–44</c:v>
                </c:pt>
                <c:pt idx="9">
                  <c:v>45–49</c:v>
                </c:pt>
                <c:pt idx="10">
                  <c:v>50–54</c:v>
                </c:pt>
                <c:pt idx="11">
                  <c:v>55–59</c:v>
                </c:pt>
                <c:pt idx="12">
                  <c:v>60–64</c:v>
                </c:pt>
                <c:pt idx="13">
                  <c:v>65–69</c:v>
                </c:pt>
                <c:pt idx="14">
                  <c:v>70–74</c:v>
                </c:pt>
                <c:pt idx="15">
                  <c:v>75–79</c:v>
                </c:pt>
                <c:pt idx="16">
                  <c:v>80–84</c:v>
                </c:pt>
                <c:pt idx="17">
                  <c:v>85&gt;</c:v>
                </c:pt>
              </c:strCache>
            </c:strRef>
          </c:cat>
          <c:val>
            <c:numRef>
              <c:f>'Medium TAs'!$AF$699:$AF$716</c:f>
              <c:numCache>
                <c:formatCode>#,##0.0</c:formatCode>
                <c:ptCount val="18"/>
                <c:pt idx="0">
                  <c:v>11.4</c:v>
                </c:pt>
                <c:pt idx="1">
                  <c:v>11.5</c:v>
                </c:pt>
                <c:pt idx="2">
                  <c:v>11.6</c:v>
                </c:pt>
                <c:pt idx="3">
                  <c:v>9.6999999999999993</c:v>
                </c:pt>
                <c:pt idx="4">
                  <c:v>7.8</c:v>
                </c:pt>
                <c:pt idx="5">
                  <c:v>7</c:v>
                </c:pt>
                <c:pt idx="6">
                  <c:v>6.7</c:v>
                </c:pt>
                <c:pt idx="7">
                  <c:v>5.7</c:v>
                </c:pt>
                <c:pt idx="8">
                  <c:v>5.7</c:v>
                </c:pt>
                <c:pt idx="9">
                  <c:v>5.3</c:v>
                </c:pt>
                <c:pt idx="10">
                  <c:v>4.4000000000000004</c:v>
                </c:pt>
                <c:pt idx="11">
                  <c:v>4.3</c:v>
                </c:pt>
                <c:pt idx="12">
                  <c:v>3.5</c:v>
                </c:pt>
                <c:pt idx="13">
                  <c:v>2.2999999999999998</c:v>
                </c:pt>
                <c:pt idx="14">
                  <c:v>1.5</c:v>
                </c:pt>
                <c:pt idx="15">
                  <c:v>0.9</c:v>
                </c:pt>
                <c:pt idx="16">
                  <c:v>0.5</c:v>
                </c:pt>
                <c:pt idx="17">
                  <c:v>0.2</c:v>
                </c:pt>
              </c:numCache>
            </c:numRef>
          </c:val>
        </c:ser>
        <c:dLbls>
          <c:showLegendKey val="0"/>
          <c:showVal val="0"/>
          <c:showCatName val="0"/>
          <c:showSerName val="0"/>
          <c:showPercent val="0"/>
          <c:showBubbleSize val="0"/>
        </c:dLbls>
        <c:gapWidth val="0"/>
        <c:overlap val="100"/>
        <c:axId val="63786368"/>
        <c:axId val="63825024"/>
      </c:barChart>
      <c:catAx>
        <c:axId val="63786368"/>
        <c:scaling>
          <c:orientation val="minMax"/>
        </c:scaling>
        <c:delete val="0"/>
        <c:axPos val="l"/>
        <c:majorTickMark val="out"/>
        <c:minorTickMark val="none"/>
        <c:tickLblPos val="low"/>
        <c:crossAx val="63825024"/>
        <c:crosses val="autoZero"/>
        <c:auto val="1"/>
        <c:lblAlgn val="ctr"/>
        <c:lblOffset val="100"/>
        <c:noMultiLvlLbl val="0"/>
      </c:catAx>
      <c:valAx>
        <c:axId val="63825024"/>
        <c:scaling>
          <c:orientation val="minMax"/>
        </c:scaling>
        <c:delete val="0"/>
        <c:axPos val="b"/>
        <c:majorGridlines/>
        <c:numFmt formatCode="#,##0.0_ ;[Red]\-#,##0.0\ " sourceLinked="1"/>
        <c:majorTickMark val="out"/>
        <c:minorTickMark val="none"/>
        <c:tickLblPos val="nextTo"/>
        <c:crossAx val="63786368"/>
        <c:crosses val="autoZero"/>
        <c:crossBetween val="between"/>
      </c:valAx>
    </c:plotArea>
    <c:plotVisOnly val="1"/>
    <c:dispBlanksAs val="gap"/>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en-US"/>
              <a:t>Western Bay Sub-Region</a:t>
            </a:r>
          </a:p>
        </c:rich>
      </c:tx>
      <c:overlay val="0"/>
    </c:title>
    <c:autoTitleDeleted val="0"/>
    <c:plotArea>
      <c:layout>
        <c:manualLayout>
          <c:layoutTarget val="inner"/>
          <c:xMode val="edge"/>
          <c:yMode val="edge"/>
          <c:x val="0.18577533333333335"/>
          <c:y val="0.15253947368421053"/>
          <c:w val="0.76830711111111116"/>
          <c:h val="0.66530964912280699"/>
        </c:manualLayout>
      </c:layout>
      <c:lineChart>
        <c:grouping val="standard"/>
        <c:varyColors val="0"/>
        <c:ser>
          <c:idx val="5"/>
          <c:order val="0"/>
          <c:tx>
            <c:strRef>
              <c:f>'NZ.Stat export'!$B$10:$C$10</c:f>
              <c:strCache>
                <c:ptCount val="1"/>
                <c:pt idx="0">
                  <c:v>0-14</c:v>
                </c:pt>
              </c:strCache>
            </c:strRef>
          </c:tx>
          <c:spPr>
            <a:ln w="44450">
              <a:solidFill>
                <a:schemeClr val="accent6">
                  <a:lumMod val="75000"/>
                </a:schemeClr>
              </a:solidFill>
            </a:ln>
          </c:spPr>
          <c:marker>
            <c:symbol val="none"/>
          </c:marker>
          <c:cat>
            <c:strRef>
              <c:f>'NZ.Stat export'!$D$4:$I$4</c:f>
              <c:strCache>
                <c:ptCount val="6"/>
                <c:pt idx="0">
                  <c:v>2006</c:v>
                </c:pt>
                <c:pt idx="1">
                  <c:v>2011</c:v>
                </c:pt>
                <c:pt idx="2">
                  <c:v>2016</c:v>
                </c:pt>
                <c:pt idx="3">
                  <c:v>2021</c:v>
                </c:pt>
                <c:pt idx="4">
                  <c:v>2026</c:v>
                </c:pt>
                <c:pt idx="5">
                  <c:v>2031</c:v>
                </c:pt>
              </c:strCache>
            </c:strRef>
          </c:cat>
          <c:val>
            <c:numRef>
              <c:f>'NZ.Stat export'!$D$10:$I$10</c:f>
              <c:numCache>
                <c:formatCode>#,##0</c:formatCode>
                <c:ptCount val="6"/>
                <c:pt idx="0">
                  <c:v>31300</c:v>
                </c:pt>
                <c:pt idx="1">
                  <c:v>32800</c:v>
                </c:pt>
                <c:pt idx="2">
                  <c:v>34100</c:v>
                </c:pt>
                <c:pt idx="3">
                  <c:v>36000</c:v>
                </c:pt>
                <c:pt idx="4">
                  <c:v>36900</c:v>
                </c:pt>
                <c:pt idx="5">
                  <c:v>38000</c:v>
                </c:pt>
              </c:numCache>
            </c:numRef>
          </c:val>
          <c:smooth val="0"/>
        </c:ser>
        <c:ser>
          <c:idx val="0"/>
          <c:order val="1"/>
          <c:tx>
            <c:strRef>
              <c:f>'NZ.Stat export'!$B$11:$C$11</c:f>
              <c:strCache>
                <c:ptCount val="1"/>
                <c:pt idx="0">
                  <c:v>65&gt;</c:v>
                </c:pt>
              </c:strCache>
            </c:strRef>
          </c:tx>
          <c:spPr>
            <a:ln w="44450">
              <a:solidFill>
                <a:schemeClr val="tx2">
                  <a:lumMod val="60000"/>
                  <a:lumOff val="40000"/>
                </a:schemeClr>
              </a:solidFill>
            </a:ln>
          </c:spPr>
          <c:marker>
            <c:symbol val="none"/>
          </c:marker>
          <c:cat>
            <c:strRef>
              <c:f>'NZ.Stat export'!$D$4:$I$4</c:f>
              <c:strCache>
                <c:ptCount val="6"/>
                <c:pt idx="0">
                  <c:v>2006</c:v>
                </c:pt>
                <c:pt idx="1">
                  <c:v>2011</c:v>
                </c:pt>
                <c:pt idx="2">
                  <c:v>2016</c:v>
                </c:pt>
                <c:pt idx="3">
                  <c:v>2021</c:v>
                </c:pt>
                <c:pt idx="4">
                  <c:v>2026</c:v>
                </c:pt>
                <c:pt idx="5">
                  <c:v>2031</c:v>
                </c:pt>
              </c:strCache>
            </c:strRef>
          </c:cat>
          <c:val>
            <c:numRef>
              <c:f>'NZ.Stat export'!$D$11:$I$11</c:f>
              <c:numCache>
                <c:formatCode>#,##0</c:formatCode>
                <c:ptCount val="6"/>
                <c:pt idx="0">
                  <c:v>25300</c:v>
                </c:pt>
                <c:pt idx="1">
                  <c:v>29400</c:v>
                </c:pt>
                <c:pt idx="2">
                  <c:v>34500</c:v>
                </c:pt>
                <c:pt idx="3">
                  <c:v>39900</c:v>
                </c:pt>
                <c:pt idx="4">
                  <c:v>46000</c:v>
                </c:pt>
                <c:pt idx="5">
                  <c:v>52000</c:v>
                </c:pt>
              </c:numCache>
            </c:numRef>
          </c:val>
          <c:smooth val="0"/>
        </c:ser>
        <c:dLbls>
          <c:showLegendKey val="0"/>
          <c:showVal val="0"/>
          <c:showCatName val="0"/>
          <c:showSerName val="0"/>
          <c:showPercent val="0"/>
          <c:showBubbleSize val="0"/>
        </c:dLbls>
        <c:marker val="1"/>
        <c:smooth val="0"/>
        <c:axId val="63842560"/>
        <c:axId val="63844352"/>
      </c:lineChart>
      <c:catAx>
        <c:axId val="63842560"/>
        <c:scaling>
          <c:orientation val="minMax"/>
        </c:scaling>
        <c:delete val="0"/>
        <c:axPos val="b"/>
        <c:majorTickMark val="out"/>
        <c:minorTickMark val="none"/>
        <c:tickLblPos val="nextTo"/>
        <c:txPr>
          <a:bodyPr rot="-5400000" vert="horz"/>
          <a:lstStyle/>
          <a:p>
            <a:pPr>
              <a:defRPr/>
            </a:pPr>
            <a:endParaRPr lang="en-US"/>
          </a:p>
        </c:txPr>
        <c:crossAx val="63844352"/>
        <c:crosses val="autoZero"/>
        <c:auto val="1"/>
        <c:lblAlgn val="ctr"/>
        <c:lblOffset val="100"/>
        <c:noMultiLvlLbl val="0"/>
      </c:catAx>
      <c:valAx>
        <c:axId val="63844352"/>
        <c:scaling>
          <c:orientation val="minMax"/>
        </c:scaling>
        <c:delete val="0"/>
        <c:axPos val="l"/>
        <c:majorGridlines/>
        <c:title>
          <c:tx>
            <c:rich>
              <a:bodyPr rot="-5400000" vert="horz"/>
              <a:lstStyle/>
              <a:p>
                <a:pPr>
                  <a:defRPr/>
                </a:pPr>
                <a:r>
                  <a:rPr lang="en-US"/>
                  <a:t>Number</a:t>
                </a:r>
              </a:p>
            </c:rich>
          </c:tx>
          <c:layout>
            <c:manualLayout>
              <c:xMode val="edge"/>
              <c:yMode val="edge"/>
              <c:x val="1.6666666666666666E-2"/>
              <c:y val="0.46531843046509036"/>
            </c:manualLayout>
          </c:layout>
          <c:overlay val="0"/>
        </c:title>
        <c:numFmt formatCode="#,##0" sourceLinked="1"/>
        <c:majorTickMark val="out"/>
        <c:minorTickMark val="none"/>
        <c:tickLblPos val="nextTo"/>
        <c:crossAx val="63842560"/>
        <c:crosses val="autoZero"/>
        <c:crossBetween val="between"/>
      </c:valAx>
    </c:plotArea>
    <c:legend>
      <c:legendPos val="r"/>
      <c:layout>
        <c:manualLayout>
          <c:xMode val="edge"/>
          <c:yMode val="edge"/>
          <c:x val="0.75370466666666669"/>
          <c:y val="0.65004035087719303"/>
          <c:w val="0.13622866666666666"/>
          <c:h val="0.1343"/>
        </c:manualLayout>
      </c:layout>
      <c:overlay val="0"/>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9E3222C-E55A-B54D-97EA-D3CAA000ECB1}" type="doc">
      <dgm:prSet loTypeId="urn:microsoft.com/office/officeart/2005/8/layout/cycle6" loCatId="cycle" qsTypeId="urn:microsoft.com/office/officeart/2005/8/quickstyle/simple4" qsCatId="simple" csTypeId="urn:microsoft.com/office/officeart/2005/8/colors/accent1_2" csCatId="accent1" phldr="1"/>
      <dgm:spPr/>
      <dgm:t>
        <a:bodyPr/>
        <a:lstStyle/>
        <a:p>
          <a:endParaRPr lang="en-US"/>
        </a:p>
      </dgm:t>
    </dgm:pt>
    <dgm:pt modelId="{7D5EE86A-2A89-5C4D-869E-7062E30FE505}">
      <dgm:prSet phldrT="[Text]"/>
      <dgm:spPr/>
      <dgm:t>
        <a:bodyPr/>
        <a:lstStyle/>
        <a:p>
          <a:pPr algn="ctr"/>
          <a:r>
            <a:rPr lang="en-US" b="0" i="0">
              <a:solidFill>
                <a:schemeClr val="bg1"/>
              </a:solidFill>
              <a:latin typeface="Arial Bold"/>
              <a:cs typeface="Arial Bold"/>
            </a:rPr>
            <a:t>Define current, future WBOP  economic strengths- 2021</a:t>
          </a:r>
        </a:p>
      </dgm:t>
    </dgm:pt>
    <dgm:pt modelId="{8128BC2A-1CE1-6540-8E67-5A148E5B2AAF}" type="parTrans" cxnId="{B5890568-05D9-1849-9E4C-F7B539655797}">
      <dgm:prSet/>
      <dgm:spPr/>
      <dgm:t>
        <a:bodyPr/>
        <a:lstStyle/>
        <a:p>
          <a:pPr algn="ctr"/>
          <a:endParaRPr lang="en-US" b="0" i="0">
            <a:solidFill>
              <a:schemeClr val="tx1"/>
            </a:solidFill>
            <a:latin typeface="Arial Bold"/>
            <a:cs typeface="Arial Bold"/>
          </a:endParaRPr>
        </a:p>
      </dgm:t>
    </dgm:pt>
    <dgm:pt modelId="{EE1A59B8-A505-D747-A633-A6583FB5EE10}" type="sibTrans" cxnId="{B5890568-05D9-1849-9E4C-F7B539655797}">
      <dgm:prSet/>
      <dgm:spPr/>
      <dgm:t>
        <a:bodyPr/>
        <a:lstStyle/>
        <a:p>
          <a:pPr algn="ctr"/>
          <a:endParaRPr lang="en-US" b="0" i="0">
            <a:solidFill>
              <a:schemeClr val="tx1"/>
            </a:solidFill>
            <a:latin typeface="Arial Bold"/>
            <a:cs typeface="Arial Bold"/>
          </a:endParaRPr>
        </a:p>
      </dgm:t>
    </dgm:pt>
    <dgm:pt modelId="{90B42CF3-9731-2346-B96E-4A3DCFF814B3}">
      <dgm:prSet phldrT="[Text]"/>
      <dgm:spPr/>
      <dgm:t>
        <a:bodyPr/>
        <a:lstStyle/>
        <a:p>
          <a:pPr algn="ctr"/>
          <a:r>
            <a:rPr lang="en-US" b="0" i="0">
              <a:solidFill>
                <a:schemeClr val="bg1"/>
              </a:solidFill>
              <a:latin typeface="Arial Bold"/>
              <a:cs typeface="Arial Bold"/>
            </a:rPr>
            <a:t> Impact on market from global ageing? </a:t>
          </a:r>
        </a:p>
      </dgm:t>
    </dgm:pt>
    <dgm:pt modelId="{EA32B0DD-BA6B-1840-B463-4E16CFCB403C}" type="parTrans" cxnId="{68E0CC6B-1BA2-484F-8125-0E2DDA78D107}">
      <dgm:prSet/>
      <dgm:spPr/>
      <dgm:t>
        <a:bodyPr/>
        <a:lstStyle/>
        <a:p>
          <a:pPr algn="ctr"/>
          <a:endParaRPr lang="en-US" b="0" i="0">
            <a:solidFill>
              <a:schemeClr val="tx1"/>
            </a:solidFill>
            <a:latin typeface="Arial Bold"/>
            <a:cs typeface="Arial Bold"/>
          </a:endParaRPr>
        </a:p>
      </dgm:t>
    </dgm:pt>
    <dgm:pt modelId="{4C9B44EA-4FDC-7F47-B67D-2B84B0FF2433}" type="sibTrans" cxnId="{68E0CC6B-1BA2-484F-8125-0E2DDA78D107}">
      <dgm:prSet/>
      <dgm:spPr/>
      <dgm:t>
        <a:bodyPr/>
        <a:lstStyle/>
        <a:p>
          <a:pPr algn="ctr"/>
          <a:endParaRPr lang="en-US" b="0" i="0">
            <a:solidFill>
              <a:schemeClr val="tx1"/>
            </a:solidFill>
            <a:latin typeface="Arial Bold"/>
            <a:cs typeface="Arial Bold"/>
          </a:endParaRPr>
        </a:p>
      </dgm:t>
    </dgm:pt>
    <dgm:pt modelId="{093CF18F-F4EF-2949-8556-45494DCF1A0D}">
      <dgm:prSet phldrT="[Text]"/>
      <dgm:spPr/>
      <dgm:t>
        <a:bodyPr/>
        <a:lstStyle/>
        <a:p>
          <a:pPr algn="ctr"/>
          <a:r>
            <a:rPr lang="en-US" b="0" i="0">
              <a:solidFill>
                <a:schemeClr val="bg1"/>
              </a:solidFill>
              <a:latin typeface="Arial Bold"/>
              <a:cs typeface="Arial Bold"/>
            </a:rPr>
            <a:t> Labour risks capacity given regional ageing?</a:t>
          </a:r>
        </a:p>
      </dgm:t>
    </dgm:pt>
    <dgm:pt modelId="{FA8BE8B1-AD08-ED4D-8804-C5BA5BD4777A}" type="parTrans" cxnId="{5F5AD36E-E00F-674B-A78E-82F056E7FA50}">
      <dgm:prSet/>
      <dgm:spPr/>
      <dgm:t>
        <a:bodyPr/>
        <a:lstStyle/>
        <a:p>
          <a:pPr algn="ctr"/>
          <a:endParaRPr lang="en-US" b="0" i="0">
            <a:solidFill>
              <a:schemeClr val="tx1"/>
            </a:solidFill>
            <a:latin typeface="Arial Bold"/>
            <a:cs typeface="Arial Bold"/>
          </a:endParaRPr>
        </a:p>
      </dgm:t>
    </dgm:pt>
    <dgm:pt modelId="{4E90A900-C075-E047-8ED2-166B6937659E}" type="sibTrans" cxnId="{5F5AD36E-E00F-674B-A78E-82F056E7FA50}">
      <dgm:prSet/>
      <dgm:spPr/>
      <dgm:t>
        <a:bodyPr/>
        <a:lstStyle/>
        <a:p>
          <a:pPr algn="ctr"/>
          <a:endParaRPr lang="en-US" b="0" i="0">
            <a:solidFill>
              <a:schemeClr val="tx1"/>
            </a:solidFill>
            <a:latin typeface="Arial Bold"/>
            <a:cs typeface="Arial Bold"/>
          </a:endParaRPr>
        </a:p>
      </dgm:t>
    </dgm:pt>
    <dgm:pt modelId="{2363AC0B-750A-274B-8095-CEA4481882E8}">
      <dgm:prSet phldrT="[Text]"/>
      <dgm:spPr/>
      <dgm:t>
        <a:bodyPr/>
        <a:lstStyle/>
        <a:p>
          <a:pPr algn="ctr"/>
          <a:r>
            <a:rPr lang="en-US" b="0" i="0">
              <a:solidFill>
                <a:schemeClr val="bg1"/>
              </a:solidFill>
              <a:latin typeface="Arial Bold"/>
              <a:cs typeface="Arial Bold"/>
            </a:rPr>
            <a:t>Knowledge skills needed in mature labour force?</a:t>
          </a:r>
        </a:p>
      </dgm:t>
    </dgm:pt>
    <dgm:pt modelId="{CC22151C-19F2-824C-A4E5-C4ABD3B4A9F0}" type="parTrans" cxnId="{3F99BDDA-4EA3-7A49-BB88-352E79A5AD8F}">
      <dgm:prSet/>
      <dgm:spPr/>
      <dgm:t>
        <a:bodyPr/>
        <a:lstStyle/>
        <a:p>
          <a:pPr algn="ctr"/>
          <a:endParaRPr lang="en-US" b="0" i="0">
            <a:solidFill>
              <a:schemeClr val="tx1"/>
            </a:solidFill>
            <a:latin typeface="Arial Bold"/>
            <a:cs typeface="Arial Bold"/>
          </a:endParaRPr>
        </a:p>
      </dgm:t>
    </dgm:pt>
    <dgm:pt modelId="{67C96EFB-5363-DB4F-BC5E-9A371570101A}" type="sibTrans" cxnId="{3F99BDDA-4EA3-7A49-BB88-352E79A5AD8F}">
      <dgm:prSet/>
      <dgm:spPr/>
      <dgm:t>
        <a:bodyPr/>
        <a:lstStyle/>
        <a:p>
          <a:pPr algn="ctr"/>
          <a:endParaRPr lang="en-US" b="0" i="0">
            <a:solidFill>
              <a:schemeClr val="tx1"/>
            </a:solidFill>
            <a:latin typeface="Arial Bold"/>
            <a:cs typeface="Arial Bold"/>
          </a:endParaRPr>
        </a:p>
      </dgm:t>
    </dgm:pt>
    <dgm:pt modelId="{BEF66023-65D9-394F-BBC5-029BD7758F7C}">
      <dgm:prSet phldrT="[Text]"/>
      <dgm:spPr/>
      <dgm:t>
        <a:bodyPr/>
        <a:lstStyle/>
        <a:p>
          <a:pPr algn="ctr"/>
          <a:r>
            <a:rPr lang="en-US" b="0" i="0">
              <a:solidFill>
                <a:schemeClr val="bg1"/>
              </a:solidFill>
              <a:latin typeface="Arial Bold"/>
              <a:cs typeface="Arial Bold"/>
            </a:rPr>
            <a:t>Ageing population business innovation opportunuty</a:t>
          </a:r>
        </a:p>
      </dgm:t>
    </dgm:pt>
    <dgm:pt modelId="{4945F67F-CF7A-D342-B7A1-2C388BD96450}" type="parTrans" cxnId="{15DDE16B-0D68-524A-89EC-3F61025D46BB}">
      <dgm:prSet/>
      <dgm:spPr/>
      <dgm:t>
        <a:bodyPr/>
        <a:lstStyle/>
        <a:p>
          <a:pPr algn="ctr"/>
          <a:endParaRPr lang="en-US" b="0" i="0">
            <a:solidFill>
              <a:schemeClr val="tx1"/>
            </a:solidFill>
            <a:latin typeface="Arial Bold"/>
            <a:cs typeface="Arial Bold"/>
          </a:endParaRPr>
        </a:p>
      </dgm:t>
    </dgm:pt>
    <dgm:pt modelId="{6B9625AD-940D-1842-BA5A-BE30C868D997}" type="sibTrans" cxnId="{15DDE16B-0D68-524A-89EC-3F61025D46BB}">
      <dgm:prSet/>
      <dgm:spPr/>
      <dgm:t>
        <a:bodyPr/>
        <a:lstStyle/>
        <a:p>
          <a:pPr algn="ctr"/>
          <a:endParaRPr lang="en-US" b="0" i="0">
            <a:solidFill>
              <a:schemeClr val="tx1"/>
            </a:solidFill>
            <a:latin typeface="Arial Bold"/>
            <a:cs typeface="Arial Bold"/>
          </a:endParaRPr>
        </a:p>
      </dgm:t>
    </dgm:pt>
    <dgm:pt modelId="{1186DE84-ECDD-1A4E-B154-73BD8B0D9CF0}" type="pres">
      <dgm:prSet presAssocID="{E9E3222C-E55A-B54D-97EA-D3CAA000ECB1}" presName="cycle" presStyleCnt="0">
        <dgm:presLayoutVars>
          <dgm:dir/>
          <dgm:resizeHandles val="exact"/>
        </dgm:presLayoutVars>
      </dgm:prSet>
      <dgm:spPr/>
      <dgm:t>
        <a:bodyPr/>
        <a:lstStyle/>
        <a:p>
          <a:endParaRPr lang="en-US"/>
        </a:p>
      </dgm:t>
    </dgm:pt>
    <dgm:pt modelId="{521E7F4B-8D65-BB45-B82C-6292B8C9BD20}" type="pres">
      <dgm:prSet presAssocID="{7D5EE86A-2A89-5C4D-869E-7062E30FE505}" presName="node" presStyleLbl="node1" presStyleIdx="0" presStyleCnt="5" custRadScaleRad="96409" custRadScaleInc="7509">
        <dgm:presLayoutVars>
          <dgm:bulletEnabled val="1"/>
        </dgm:presLayoutVars>
      </dgm:prSet>
      <dgm:spPr/>
      <dgm:t>
        <a:bodyPr/>
        <a:lstStyle/>
        <a:p>
          <a:endParaRPr lang="en-US"/>
        </a:p>
      </dgm:t>
    </dgm:pt>
    <dgm:pt modelId="{5E1D8B24-5BCB-144E-BED4-86FA299494A9}" type="pres">
      <dgm:prSet presAssocID="{7D5EE86A-2A89-5C4D-869E-7062E30FE505}" presName="spNode" presStyleCnt="0"/>
      <dgm:spPr/>
    </dgm:pt>
    <dgm:pt modelId="{F12ECB06-5EB3-2A4A-B0BA-D6021EB1615A}" type="pres">
      <dgm:prSet presAssocID="{EE1A59B8-A505-D747-A633-A6583FB5EE10}" presName="sibTrans" presStyleLbl="sibTrans1D1" presStyleIdx="0" presStyleCnt="5"/>
      <dgm:spPr/>
      <dgm:t>
        <a:bodyPr/>
        <a:lstStyle/>
        <a:p>
          <a:endParaRPr lang="en-US"/>
        </a:p>
      </dgm:t>
    </dgm:pt>
    <dgm:pt modelId="{EB33796A-7DB8-9C49-97A1-EE40EB4C1F23}" type="pres">
      <dgm:prSet presAssocID="{90B42CF3-9731-2346-B96E-4A3DCFF814B3}" presName="node" presStyleLbl="node1" presStyleIdx="1" presStyleCnt="5" custRadScaleRad="115606" custRadScaleInc="10401">
        <dgm:presLayoutVars>
          <dgm:bulletEnabled val="1"/>
        </dgm:presLayoutVars>
      </dgm:prSet>
      <dgm:spPr/>
      <dgm:t>
        <a:bodyPr/>
        <a:lstStyle/>
        <a:p>
          <a:endParaRPr lang="en-US"/>
        </a:p>
      </dgm:t>
    </dgm:pt>
    <dgm:pt modelId="{B7FD05E6-39BD-DE40-9BCD-EDF671F6C78C}" type="pres">
      <dgm:prSet presAssocID="{90B42CF3-9731-2346-B96E-4A3DCFF814B3}" presName="spNode" presStyleCnt="0"/>
      <dgm:spPr/>
    </dgm:pt>
    <dgm:pt modelId="{31928BBD-0B05-4142-96B6-728EC8C6CC4F}" type="pres">
      <dgm:prSet presAssocID="{4C9B44EA-4FDC-7F47-B67D-2B84B0FF2433}" presName="sibTrans" presStyleLbl="sibTrans1D1" presStyleIdx="1" presStyleCnt="5"/>
      <dgm:spPr/>
      <dgm:t>
        <a:bodyPr/>
        <a:lstStyle/>
        <a:p>
          <a:endParaRPr lang="en-US"/>
        </a:p>
      </dgm:t>
    </dgm:pt>
    <dgm:pt modelId="{C39EF235-D30B-5D4E-8313-9AB1D71698EF}" type="pres">
      <dgm:prSet presAssocID="{093CF18F-F4EF-2949-8556-45494DCF1A0D}" presName="node" presStyleLbl="node1" presStyleIdx="2" presStyleCnt="5">
        <dgm:presLayoutVars>
          <dgm:bulletEnabled val="1"/>
        </dgm:presLayoutVars>
      </dgm:prSet>
      <dgm:spPr/>
      <dgm:t>
        <a:bodyPr/>
        <a:lstStyle/>
        <a:p>
          <a:endParaRPr lang="en-US"/>
        </a:p>
      </dgm:t>
    </dgm:pt>
    <dgm:pt modelId="{E6C17E35-FED6-6D45-B203-13AB7905C7D9}" type="pres">
      <dgm:prSet presAssocID="{093CF18F-F4EF-2949-8556-45494DCF1A0D}" presName="spNode" presStyleCnt="0"/>
      <dgm:spPr/>
    </dgm:pt>
    <dgm:pt modelId="{D5CA269C-D46A-6144-9BDB-B11A898BB211}" type="pres">
      <dgm:prSet presAssocID="{4E90A900-C075-E047-8ED2-166B6937659E}" presName="sibTrans" presStyleLbl="sibTrans1D1" presStyleIdx="2" presStyleCnt="5"/>
      <dgm:spPr/>
      <dgm:t>
        <a:bodyPr/>
        <a:lstStyle/>
        <a:p>
          <a:endParaRPr lang="en-US"/>
        </a:p>
      </dgm:t>
    </dgm:pt>
    <dgm:pt modelId="{88BD17C3-4339-F247-A645-6F59AA5DA0B7}" type="pres">
      <dgm:prSet presAssocID="{2363AC0B-750A-274B-8095-CEA4481882E8}" presName="node" presStyleLbl="node1" presStyleIdx="3" presStyleCnt="5" custRadScaleRad="123373" custRadScaleInc="-26101">
        <dgm:presLayoutVars>
          <dgm:bulletEnabled val="1"/>
        </dgm:presLayoutVars>
      </dgm:prSet>
      <dgm:spPr/>
      <dgm:t>
        <a:bodyPr/>
        <a:lstStyle/>
        <a:p>
          <a:endParaRPr lang="en-US"/>
        </a:p>
      </dgm:t>
    </dgm:pt>
    <dgm:pt modelId="{DF7FC4F6-F8D1-A842-B602-A5F05D21CC87}" type="pres">
      <dgm:prSet presAssocID="{2363AC0B-750A-274B-8095-CEA4481882E8}" presName="spNode" presStyleCnt="0"/>
      <dgm:spPr/>
    </dgm:pt>
    <dgm:pt modelId="{AF670A93-1BD6-1643-9F72-F9256B5C1AA8}" type="pres">
      <dgm:prSet presAssocID="{67C96EFB-5363-DB4F-BC5E-9A371570101A}" presName="sibTrans" presStyleLbl="sibTrans1D1" presStyleIdx="3" presStyleCnt="5"/>
      <dgm:spPr/>
      <dgm:t>
        <a:bodyPr/>
        <a:lstStyle/>
        <a:p>
          <a:endParaRPr lang="en-US"/>
        </a:p>
      </dgm:t>
    </dgm:pt>
    <dgm:pt modelId="{FADE0FE3-3016-D842-B603-DBFEC8E532CF}" type="pres">
      <dgm:prSet presAssocID="{BEF66023-65D9-394F-BBC5-029BD7758F7C}" presName="node" presStyleLbl="node1" presStyleIdx="4" presStyleCnt="5">
        <dgm:presLayoutVars>
          <dgm:bulletEnabled val="1"/>
        </dgm:presLayoutVars>
      </dgm:prSet>
      <dgm:spPr/>
      <dgm:t>
        <a:bodyPr/>
        <a:lstStyle/>
        <a:p>
          <a:endParaRPr lang="en-US"/>
        </a:p>
      </dgm:t>
    </dgm:pt>
    <dgm:pt modelId="{6DD587CD-561C-1747-BBCD-27D886E9EE8A}" type="pres">
      <dgm:prSet presAssocID="{BEF66023-65D9-394F-BBC5-029BD7758F7C}" presName="spNode" presStyleCnt="0"/>
      <dgm:spPr/>
    </dgm:pt>
    <dgm:pt modelId="{BB742B82-1755-9348-8A90-883C5648CAA0}" type="pres">
      <dgm:prSet presAssocID="{6B9625AD-940D-1842-BA5A-BE30C868D997}" presName="sibTrans" presStyleLbl="sibTrans1D1" presStyleIdx="4" presStyleCnt="5"/>
      <dgm:spPr/>
      <dgm:t>
        <a:bodyPr/>
        <a:lstStyle/>
        <a:p>
          <a:endParaRPr lang="en-US"/>
        </a:p>
      </dgm:t>
    </dgm:pt>
  </dgm:ptLst>
  <dgm:cxnLst>
    <dgm:cxn modelId="{E785B1D4-AE57-4FC2-9B61-C55CDF5EBBC0}" type="presOf" srcId="{7D5EE86A-2A89-5C4D-869E-7062E30FE505}" destId="{521E7F4B-8D65-BB45-B82C-6292B8C9BD20}" srcOrd="0" destOrd="0" presId="urn:microsoft.com/office/officeart/2005/8/layout/cycle6"/>
    <dgm:cxn modelId="{70897449-F9DB-48E4-9C8C-AC06AC56559F}" type="presOf" srcId="{67C96EFB-5363-DB4F-BC5E-9A371570101A}" destId="{AF670A93-1BD6-1643-9F72-F9256B5C1AA8}" srcOrd="0" destOrd="0" presId="urn:microsoft.com/office/officeart/2005/8/layout/cycle6"/>
    <dgm:cxn modelId="{6E8317C6-86AE-4960-9C5B-2904A99D8114}" type="presOf" srcId="{90B42CF3-9731-2346-B96E-4A3DCFF814B3}" destId="{EB33796A-7DB8-9C49-97A1-EE40EB4C1F23}" srcOrd="0" destOrd="0" presId="urn:microsoft.com/office/officeart/2005/8/layout/cycle6"/>
    <dgm:cxn modelId="{B5890568-05D9-1849-9E4C-F7B539655797}" srcId="{E9E3222C-E55A-B54D-97EA-D3CAA000ECB1}" destId="{7D5EE86A-2A89-5C4D-869E-7062E30FE505}" srcOrd="0" destOrd="0" parTransId="{8128BC2A-1CE1-6540-8E67-5A148E5B2AAF}" sibTransId="{EE1A59B8-A505-D747-A633-A6583FB5EE10}"/>
    <dgm:cxn modelId="{6B084219-A45B-4702-AD37-317F8D509932}" type="presOf" srcId="{E9E3222C-E55A-B54D-97EA-D3CAA000ECB1}" destId="{1186DE84-ECDD-1A4E-B154-73BD8B0D9CF0}" srcOrd="0" destOrd="0" presId="urn:microsoft.com/office/officeart/2005/8/layout/cycle6"/>
    <dgm:cxn modelId="{5C94BEC5-6A86-4FC3-A655-35BE2B9254FC}" type="presOf" srcId="{EE1A59B8-A505-D747-A633-A6583FB5EE10}" destId="{F12ECB06-5EB3-2A4A-B0BA-D6021EB1615A}" srcOrd="0" destOrd="0" presId="urn:microsoft.com/office/officeart/2005/8/layout/cycle6"/>
    <dgm:cxn modelId="{E9FC3A2C-5360-4719-9F69-B4378B56A19E}" type="presOf" srcId="{093CF18F-F4EF-2949-8556-45494DCF1A0D}" destId="{C39EF235-D30B-5D4E-8313-9AB1D71698EF}" srcOrd="0" destOrd="0" presId="urn:microsoft.com/office/officeart/2005/8/layout/cycle6"/>
    <dgm:cxn modelId="{9673AAC4-7AAB-40FD-8728-FB1FEB42347F}" type="presOf" srcId="{4E90A900-C075-E047-8ED2-166B6937659E}" destId="{D5CA269C-D46A-6144-9BDB-B11A898BB211}" srcOrd="0" destOrd="0" presId="urn:microsoft.com/office/officeart/2005/8/layout/cycle6"/>
    <dgm:cxn modelId="{5F5AD36E-E00F-674B-A78E-82F056E7FA50}" srcId="{E9E3222C-E55A-B54D-97EA-D3CAA000ECB1}" destId="{093CF18F-F4EF-2949-8556-45494DCF1A0D}" srcOrd="2" destOrd="0" parTransId="{FA8BE8B1-AD08-ED4D-8804-C5BA5BD4777A}" sibTransId="{4E90A900-C075-E047-8ED2-166B6937659E}"/>
    <dgm:cxn modelId="{68E0CC6B-1BA2-484F-8125-0E2DDA78D107}" srcId="{E9E3222C-E55A-B54D-97EA-D3CAA000ECB1}" destId="{90B42CF3-9731-2346-B96E-4A3DCFF814B3}" srcOrd="1" destOrd="0" parTransId="{EA32B0DD-BA6B-1840-B463-4E16CFCB403C}" sibTransId="{4C9B44EA-4FDC-7F47-B67D-2B84B0FF2433}"/>
    <dgm:cxn modelId="{310A19A9-28E0-4643-9979-8EB0D584BFB6}" type="presOf" srcId="{BEF66023-65D9-394F-BBC5-029BD7758F7C}" destId="{FADE0FE3-3016-D842-B603-DBFEC8E532CF}" srcOrd="0" destOrd="0" presId="urn:microsoft.com/office/officeart/2005/8/layout/cycle6"/>
    <dgm:cxn modelId="{15DDE16B-0D68-524A-89EC-3F61025D46BB}" srcId="{E9E3222C-E55A-B54D-97EA-D3CAA000ECB1}" destId="{BEF66023-65D9-394F-BBC5-029BD7758F7C}" srcOrd="4" destOrd="0" parTransId="{4945F67F-CF7A-D342-B7A1-2C388BD96450}" sibTransId="{6B9625AD-940D-1842-BA5A-BE30C868D997}"/>
    <dgm:cxn modelId="{F62C1F23-DC04-401E-B981-BF9E8E750426}" type="presOf" srcId="{2363AC0B-750A-274B-8095-CEA4481882E8}" destId="{88BD17C3-4339-F247-A645-6F59AA5DA0B7}" srcOrd="0" destOrd="0" presId="urn:microsoft.com/office/officeart/2005/8/layout/cycle6"/>
    <dgm:cxn modelId="{3F99BDDA-4EA3-7A49-BB88-352E79A5AD8F}" srcId="{E9E3222C-E55A-B54D-97EA-D3CAA000ECB1}" destId="{2363AC0B-750A-274B-8095-CEA4481882E8}" srcOrd="3" destOrd="0" parTransId="{CC22151C-19F2-824C-A4E5-C4ABD3B4A9F0}" sibTransId="{67C96EFB-5363-DB4F-BC5E-9A371570101A}"/>
    <dgm:cxn modelId="{BFB26618-4FBB-4755-8F9A-A17E269F63E5}" type="presOf" srcId="{4C9B44EA-4FDC-7F47-B67D-2B84B0FF2433}" destId="{31928BBD-0B05-4142-96B6-728EC8C6CC4F}" srcOrd="0" destOrd="0" presId="urn:microsoft.com/office/officeart/2005/8/layout/cycle6"/>
    <dgm:cxn modelId="{3B579218-C16A-4469-9DF5-AFB4FEA9A9E6}" type="presOf" srcId="{6B9625AD-940D-1842-BA5A-BE30C868D997}" destId="{BB742B82-1755-9348-8A90-883C5648CAA0}" srcOrd="0" destOrd="0" presId="urn:microsoft.com/office/officeart/2005/8/layout/cycle6"/>
    <dgm:cxn modelId="{EF69EB60-21CA-4356-808A-20964EBF1C08}" type="presParOf" srcId="{1186DE84-ECDD-1A4E-B154-73BD8B0D9CF0}" destId="{521E7F4B-8D65-BB45-B82C-6292B8C9BD20}" srcOrd="0" destOrd="0" presId="urn:microsoft.com/office/officeart/2005/8/layout/cycle6"/>
    <dgm:cxn modelId="{E87DCDE2-9B19-4959-938F-C466DD47EA8C}" type="presParOf" srcId="{1186DE84-ECDD-1A4E-B154-73BD8B0D9CF0}" destId="{5E1D8B24-5BCB-144E-BED4-86FA299494A9}" srcOrd="1" destOrd="0" presId="urn:microsoft.com/office/officeart/2005/8/layout/cycle6"/>
    <dgm:cxn modelId="{5BBA4E6B-9935-4D95-883A-6C918A51ABA1}" type="presParOf" srcId="{1186DE84-ECDD-1A4E-B154-73BD8B0D9CF0}" destId="{F12ECB06-5EB3-2A4A-B0BA-D6021EB1615A}" srcOrd="2" destOrd="0" presId="urn:microsoft.com/office/officeart/2005/8/layout/cycle6"/>
    <dgm:cxn modelId="{227EDC55-B0D5-422B-BB73-C2AC892B10A5}" type="presParOf" srcId="{1186DE84-ECDD-1A4E-B154-73BD8B0D9CF0}" destId="{EB33796A-7DB8-9C49-97A1-EE40EB4C1F23}" srcOrd="3" destOrd="0" presId="urn:microsoft.com/office/officeart/2005/8/layout/cycle6"/>
    <dgm:cxn modelId="{163B3845-3D24-4D26-8D44-BA461DD946B7}" type="presParOf" srcId="{1186DE84-ECDD-1A4E-B154-73BD8B0D9CF0}" destId="{B7FD05E6-39BD-DE40-9BCD-EDF671F6C78C}" srcOrd="4" destOrd="0" presId="urn:microsoft.com/office/officeart/2005/8/layout/cycle6"/>
    <dgm:cxn modelId="{BCEF9067-8FB0-455F-9008-64E114E36A64}" type="presParOf" srcId="{1186DE84-ECDD-1A4E-B154-73BD8B0D9CF0}" destId="{31928BBD-0B05-4142-96B6-728EC8C6CC4F}" srcOrd="5" destOrd="0" presId="urn:microsoft.com/office/officeart/2005/8/layout/cycle6"/>
    <dgm:cxn modelId="{455BB93A-A0DB-4280-B8BE-175FF8BF406D}" type="presParOf" srcId="{1186DE84-ECDD-1A4E-B154-73BD8B0D9CF0}" destId="{C39EF235-D30B-5D4E-8313-9AB1D71698EF}" srcOrd="6" destOrd="0" presId="urn:microsoft.com/office/officeart/2005/8/layout/cycle6"/>
    <dgm:cxn modelId="{C61E00FA-47D5-4E9D-92C7-2E1F469204C9}" type="presParOf" srcId="{1186DE84-ECDD-1A4E-B154-73BD8B0D9CF0}" destId="{E6C17E35-FED6-6D45-B203-13AB7905C7D9}" srcOrd="7" destOrd="0" presId="urn:microsoft.com/office/officeart/2005/8/layout/cycle6"/>
    <dgm:cxn modelId="{11621610-0D92-4FB1-8197-4DEE129D301B}" type="presParOf" srcId="{1186DE84-ECDD-1A4E-B154-73BD8B0D9CF0}" destId="{D5CA269C-D46A-6144-9BDB-B11A898BB211}" srcOrd="8" destOrd="0" presId="urn:microsoft.com/office/officeart/2005/8/layout/cycle6"/>
    <dgm:cxn modelId="{C37A4758-BDC7-4CED-8481-E5A5B5DD63FD}" type="presParOf" srcId="{1186DE84-ECDD-1A4E-B154-73BD8B0D9CF0}" destId="{88BD17C3-4339-F247-A645-6F59AA5DA0B7}" srcOrd="9" destOrd="0" presId="urn:microsoft.com/office/officeart/2005/8/layout/cycle6"/>
    <dgm:cxn modelId="{35A6CE13-A5CF-4B46-9C9A-A91D1D425BB0}" type="presParOf" srcId="{1186DE84-ECDD-1A4E-B154-73BD8B0D9CF0}" destId="{DF7FC4F6-F8D1-A842-B602-A5F05D21CC87}" srcOrd="10" destOrd="0" presId="urn:microsoft.com/office/officeart/2005/8/layout/cycle6"/>
    <dgm:cxn modelId="{38E47F47-C923-417F-9D3C-7F7EDEB42F3C}" type="presParOf" srcId="{1186DE84-ECDD-1A4E-B154-73BD8B0D9CF0}" destId="{AF670A93-1BD6-1643-9F72-F9256B5C1AA8}" srcOrd="11" destOrd="0" presId="urn:microsoft.com/office/officeart/2005/8/layout/cycle6"/>
    <dgm:cxn modelId="{FAE4BE53-7752-4E4F-92FB-53FAC0717308}" type="presParOf" srcId="{1186DE84-ECDD-1A4E-B154-73BD8B0D9CF0}" destId="{FADE0FE3-3016-D842-B603-DBFEC8E532CF}" srcOrd="12" destOrd="0" presId="urn:microsoft.com/office/officeart/2005/8/layout/cycle6"/>
    <dgm:cxn modelId="{9C9C2780-F922-4357-9618-6423734C6F27}" type="presParOf" srcId="{1186DE84-ECDD-1A4E-B154-73BD8B0D9CF0}" destId="{6DD587CD-561C-1747-BBCD-27D886E9EE8A}" srcOrd="13" destOrd="0" presId="urn:microsoft.com/office/officeart/2005/8/layout/cycle6"/>
    <dgm:cxn modelId="{85015BDF-10E3-4B52-976D-46BF8DE46A4A}" type="presParOf" srcId="{1186DE84-ECDD-1A4E-B154-73BD8B0D9CF0}" destId="{BB742B82-1755-9348-8A90-883C5648CAA0}" srcOrd="14" destOrd="0" presId="urn:microsoft.com/office/officeart/2005/8/layout/cycle6"/>
  </dgm:cxnLst>
  <dgm:bg>
    <a:noFill/>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21E7F4B-8D65-BB45-B82C-6292B8C9BD20}">
      <dsp:nvSpPr>
        <dsp:cNvPr id="0" name=""/>
        <dsp:cNvSpPr/>
      </dsp:nvSpPr>
      <dsp:spPr>
        <a:xfrm>
          <a:off x="2460057" y="46628"/>
          <a:ext cx="942617" cy="612701"/>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b="0" i="0" kern="1200">
              <a:solidFill>
                <a:schemeClr val="bg1"/>
              </a:solidFill>
              <a:latin typeface="Arial Bold"/>
              <a:cs typeface="Arial Bold"/>
            </a:rPr>
            <a:t>Define current, future WBOP  economic strengths- 2021</a:t>
          </a:r>
        </a:p>
      </dsp:txBody>
      <dsp:txXfrm>
        <a:off x="2489967" y="76538"/>
        <a:ext cx="882797" cy="552881"/>
      </dsp:txXfrm>
    </dsp:sp>
    <dsp:sp modelId="{F12ECB06-5EB3-2A4A-B0BA-D6021EB1615A}">
      <dsp:nvSpPr>
        <dsp:cNvPr id="0" name=""/>
        <dsp:cNvSpPr/>
      </dsp:nvSpPr>
      <dsp:spPr>
        <a:xfrm>
          <a:off x="2011673" y="456055"/>
          <a:ext cx="2446728" cy="2446728"/>
        </a:xfrm>
        <a:custGeom>
          <a:avLst/>
          <a:gdLst/>
          <a:ahLst/>
          <a:cxnLst/>
          <a:rect l="0" t="0" r="0" b="0"/>
          <a:pathLst>
            <a:path>
              <a:moveTo>
                <a:pt x="1399142" y="12694"/>
              </a:moveTo>
              <a:arcTo wR="1223364" hR="1223364" stAng="16695667" swAng="2310247"/>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B33796A-7DB8-9C49-97A1-EE40EB4C1F23}">
      <dsp:nvSpPr>
        <dsp:cNvPr id="0" name=""/>
        <dsp:cNvSpPr/>
      </dsp:nvSpPr>
      <dsp:spPr>
        <a:xfrm>
          <a:off x="3785786" y="847438"/>
          <a:ext cx="942617" cy="612701"/>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b="0" i="0" kern="1200">
              <a:solidFill>
                <a:schemeClr val="bg1"/>
              </a:solidFill>
              <a:latin typeface="Arial Bold"/>
              <a:cs typeface="Arial Bold"/>
            </a:rPr>
            <a:t> Impact on market from global ageing? </a:t>
          </a:r>
        </a:p>
      </dsp:txBody>
      <dsp:txXfrm>
        <a:off x="3815696" y="877348"/>
        <a:ext cx="882797" cy="552881"/>
      </dsp:txXfrm>
    </dsp:sp>
    <dsp:sp modelId="{31928BBD-0B05-4142-96B6-728EC8C6CC4F}">
      <dsp:nvSpPr>
        <dsp:cNvPr id="0" name=""/>
        <dsp:cNvSpPr/>
      </dsp:nvSpPr>
      <dsp:spPr>
        <a:xfrm>
          <a:off x="1870106" y="79933"/>
          <a:ext cx="2446728" cy="2446728"/>
        </a:xfrm>
        <a:custGeom>
          <a:avLst/>
          <a:gdLst/>
          <a:ahLst/>
          <a:cxnLst/>
          <a:rect l="0" t="0" r="0" b="0"/>
          <a:pathLst>
            <a:path>
              <a:moveTo>
                <a:pt x="2435508" y="1388666"/>
              </a:moveTo>
              <a:arcTo wR="1223364" hR="1223364" stAng="465937" swAng="2401720"/>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C39EF235-D30B-5D4E-8313-9AB1D71698EF}">
      <dsp:nvSpPr>
        <dsp:cNvPr id="0" name=""/>
        <dsp:cNvSpPr/>
      </dsp:nvSpPr>
      <dsp:spPr>
        <a:xfrm>
          <a:off x="3142041" y="2215200"/>
          <a:ext cx="942617" cy="612701"/>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b="0" i="0" kern="1200">
              <a:solidFill>
                <a:schemeClr val="bg1"/>
              </a:solidFill>
              <a:latin typeface="Arial Bold"/>
              <a:cs typeface="Arial Bold"/>
            </a:rPr>
            <a:t> Labour risks capacity given regional ageing?</a:t>
          </a:r>
        </a:p>
      </dsp:txBody>
      <dsp:txXfrm>
        <a:off x="3171951" y="2245110"/>
        <a:ext cx="882797" cy="552881"/>
      </dsp:txXfrm>
    </dsp:sp>
    <dsp:sp modelId="{D5CA269C-D46A-6144-9BDB-B11A898BB211}">
      <dsp:nvSpPr>
        <dsp:cNvPr id="0" name=""/>
        <dsp:cNvSpPr/>
      </dsp:nvSpPr>
      <dsp:spPr>
        <a:xfrm>
          <a:off x="1550542" y="339815"/>
          <a:ext cx="2446728" cy="2446728"/>
        </a:xfrm>
        <a:custGeom>
          <a:avLst/>
          <a:gdLst/>
          <a:ahLst/>
          <a:cxnLst/>
          <a:rect l="0" t="0" r="0" b="0"/>
          <a:pathLst>
            <a:path>
              <a:moveTo>
                <a:pt x="1586468" y="2391599"/>
              </a:moveTo>
              <a:arcTo wR="1223364" hR="1223364" stAng="4364040" swAng="1463370"/>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8BD17C3-4339-F247-A645-6F59AA5DA0B7}">
      <dsp:nvSpPr>
        <dsp:cNvPr id="0" name=""/>
        <dsp:cNvSpPr/>
      </dsp:nvSpPr>
      <dsp:spPr>
        <a:xfrm>
          <a:off x="1674351" y="2257719"/>
          <a:ext cx="942617" cy="612701"/>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b="0" i="0" kern="1200">
              <a:solidFill>
                <a:schemeClr val="bg1"/>
              </a:solidFill>
              <a:latin typeface="Arial Bold"/>
              <a:cs typeface="Arial Bold"/>
            </a:rPr>
            <a:t>Knowledge skills needed in mature labour force?</a:t>
          </a:r>
        </a:p>
      </dsp:txBody>
      <dsp:txXfrm>
        <a:off x="1704261" y="2287629"/>
        <a:ext cx="882797" cy="552881"/>
      </dsp:txXfrm>
    </dsp:sp>
    <dsp:sp modelId="{AF670A93-1BD6-1643-9F72-F9256B5C1AA8}">
      <dsp:nvSpPr>
        <dsp:cNvPr id="0" name=""/>
        <dsp:cNvSpPr/>
      </dsp:nvSpPr>
      <dsp:spPr>
        <a:xfrm>
          <a:off x="1663227" y="391204"/>
          <a:ext cx="2446728" cy="2446728"/>
        </a:xfrm>
        <a:custGeom>
          <a:avLst/>
          <a:gdLst/>
          <a:ahLst/>
          <a:cxnLst/>
          <a:rect l="0" t="0" r="0" b="0"/>
          <a:pathLst>
            <a:path>
              <a:moveTo>
                <a:pt x="178435" y="1859558"/>
              </a:moveTo>
              <a:arcTo wR="1223364" hR="1223364" stAng="8919917" swAng="2292268"/>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ADE0FE3-3016-D842-B603-DBFEC8E532CF}">
      <dsp:nvSpPr>
        <dsp:cNvPr id="0" name=""/>
        <dsp:cNvSpPr/>
      </dsp:nvSpPr>
      <dsp:spPr>
        <a:xfrm>
          <a:off x="1259477" y="847437"/>
          <a:ext cx="942617" cy="612701"/>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b="0" i="0" kern="1200">
              <a:solidFill>
                <a:schemeClr val="bg1"/>
              </a:solidFill>
              <a:latin typeface="Arial Bold"/>
              <a:cs typeface="Arial Bold"/>
            </a:rPr>
            <a:t>Ageing population business innovation opportunuty</a:t>
          </a:r>
        </a:p>
      </dsp:txBody>
      <dsp:txXfrm>
        <a:off x="1289387" y="877347"/>
        <a:ext cx="882797" cy="552881"/>
      </dsp:txXfrm>
    </dsp:sp>
    <dsp:sp modelId="{BB742B82-1755-9348-8A90-883C5648CAA0}">
      <dsp:nvSpPr>
        <dsp:cNvPr id="0" name=""/>
        <dsp:cNvSpPr/>
      </dsp:nvSpPr>
      <dsp:spPr>
        <a:xfrm>
          <a:off x="1625026" y="371964"/>
          <a:ext cx="2446728" cy="2446728"/>
        </a:xfrm>
        <a:custGeom>
          <a:avLst/>
          <a:gdLst/>
          <a:ahLst/>
          <a:cxnLst/>
          <a:rect l="0" t="0" r="0" b="0"/>
          <a:pathLst>
            <a:path>
              <a:moveTo>
                <a:pt x="259597" y="469855"/>
              </a:moveTo>
              <a:arcTo wR="1223364" hR="1223364" stAng="13081177" swAng="1988376"/>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0.19904</cdr:x>
      <cdr:y>0.01485</cdr:y>
    </cdr:from>
    <cdr:to>
      <cdr:x>0.85855</cdr:x>
      <cdr:y>0.08555</cdr:y>
    </cdr:to>
    <cdr:sp macro="" textlink="">
      <cdr:nvSpPr>
        <cdr:cNvPr id="2" name="TextBox 1"/>
        <cdr:cNvSpPr txBox="1"/>
      </cdr:nvSpPr>
      <cdr:spPr>
        <a:xfrm xmlns:a="http://schemas.openxmlformats.org/drawingml/2006/main">
          <a:off x="532737" y="41868"/>
          <a:ext cx="1765189" cy="1993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NZ" sz="1100" b="1"/>
            <a:t>New Zealand Maori (2011)</a:t>
          </a:r>
        </a:p>
      </cdr:txBody>
    </cdr:sp>
  </cdr:relSizeAnchor>
  <cdr:relSizeAnchor xmlns:cdr="http://schemas.openxmlformats.org/drawingml/2006/chartDrawing">
    <cdr:from>
      <cdr:x>0.71575</cdr:x>
      <cdr:y>0.13861</cdr:y>
    </cdr:from>
    <cdr:to>
      <cdr:x>0.94783</cdr:x>
      <cdr:y>0.21886</cdr:y>
    </cdr:to>
    <cdr:sp macro="" textlink="">
      <cdr:nvSpPr>
        <cdr:cNvPr id="3" name="TextBox 2"/>
        <cdr:cNvSpPr txBox="1"/>
      </cdr:nvSpPr>
      <cdr:spPr>
        <a:xfrm xmlns:a="http://schemas.openxmlformats.org/drawingml/2006/main">
          <a:off x="1990725" y="392117"/>
          <a:ext cx="645475" cy="2270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NZ" sz="1100" b="1"/>
            <a:t>Female</a:t>
          </a:r>
        </a:p>
      </cdr:txBody>
    </cdr:sp>
  </cdr:relSizeAnchor>
  <cdr:relSizeAnchor xmlns:cdr="http://schemas.openxmlformats.org/drawingml/2006/chartDrawing">
    <cdr:from>
      <cdr:x>0.13478</cdr:x>
      <cdr:y>0.13614</cdr:y>
    </cdr:from>
    <cdr:to>
      <cdr:x>0.32534</cdr:x>
      <cdr:y>0.22222</cdr:y>
    </cdr:to>
    <cdr:sp macro="" textlink="">
      <cdr:nvSpPr>
        <cdr:cNvPr id="4" name="TextBox 3"/>
        <cdr:cNvSpPr txBox="1"/>
      </cdr:nvSpPr>
      <cdr:spPr>
        <a:xfrm xmlns:a="http://schemas.openxmlformats.org/drawingml/2006/main">
          <a:off x="374863" y="385130"/>
          <a:ext cx="530011" cy="24352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NZ" sz="1100" b="1"/>
            <a:t>Male</a:t>
          </a:r>
        </a:p>
      </cdr:txBody>
    </cdr:sp>
  </cdr:relSizeAnchor>
</c:userShapes>
</file>

<file path=word/drawings/drawing2.xml><?xml version="1.0" encoding="utf-8"?>
<c:userShapes xmlns:c="http://schemas.openxmlformats.org/drawingml/2006/chart">
  <cdr:relSizeAnchor xmlns:cdr="http://schemas.openxmlformats.org/drawingml/2006/chartDrawing">
    <cdr:from>
      <cdr:x>0.12708</cdr:x>
      <cdr:y>0.14527</cdr:y>
    </cdr:from>
    <cdr:to>
      <cdr:x>0.33835</cdr:x>
      <cdr:y>0.23547</cdr:y>
    </cdr:to>
    <cdr:sp macro="" textlink="">
      <cdr:nvSpPr>
        <cdr:cNvPr id="2" name="TextBox 1"/>
        <cdr:cNvSpPr txBox="1"/>
      </cdr:nvSpPr>
      <cdr:spPr>
        <a:xfrm xmlns:a="http://schemas.openxmlformats.org/drawingml/2006/main">
          <a:off x="321976" y="409575"/>
          <a:ext cx="535274" cy="2543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NZ" sz="1100" b="1"/>
            <a:t>Male</a:t>
          </a:r>
        </a:p>
      </cdr:txBody>
    </cdr:sp>
  </cdr:relSizeAnchor>
  <cdr:relSizeAnchor xmlns:cdr="http://schemas.openxmlformats.org/drawingml/2006/chartDrawing">
    <cdr:from>
      <cdr:x>0.70184</cdr:x>
      <cdr:y>0.1506</cdr:y>
    </cdr:from>
    <cdr:to>
      <cdr:x>0.95113</cdr:x>
      <cdr:y>0.23986</cdr:y>
    </cdr:to>
    <cdr:sp macro="" textlink="">
      <cdr:nvSpPr>
        <cdr:cNvPr id="3" name="TextBox 2"/>
        <cdr:cNvSpPr txBox="1"/>
      </cdr:nvSpPr>
      <cdr:spPr>
        <a:xfrm xmlns:a="http://schemas.openxmlformats.org/drawingml/2006/main">
          <a:off x="1778229" y="424601"/>
          <a:ext cx="631595" cy="25167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NZ" sz="1100" b="1"/>
            <a:t>Female</a:t>
          </a:r>
        </a:p>
      </cdr:txBody>
    </cdr:sp>
  </cdr:relSizeAnchor>
</c:userShapes>
</file>

<file path=word/drawings/drawing3.xml><?xml version="1.0" encoding="utf-8"?>
<c:userShapes xmlns:c="http://schemas.openxmlformats.org/drawingml/2006/chart">
  <cdr:relSizeAnchor xmlns:cdr="http://schemas.openxmlformats.org/drawingml/2006/chartDrawing">
    <cdr:from>
      <cdr:x>0.16297</cdr:x>
      <cdr:y>0.17534</cdr:y>
    </cdr:from>
    <cdr:to>
      <cdr:x>0.39897</cdr:x>
      <cdr:y>0.26543</cdr:y>
    </cdr:to>
    <cdr:sp macro="" textlink="">
      <cdr:nvSpPr>
        <cdr:cNvPr id="2" name="TextBox 1"/>
        <cdr:cNvSpPr txBox="1"/>
      </cdr:nvSpPr>
      <cdr:spPr>
        <a:xfrm xmlns:a="http://schemas.openxmlformats.org/drawingml/2006/main">
          <a:off x="417562" y="464304"/>
          <a:ext cx="604691" cy="23855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NZ" b="1"/>
            <a:t>Male</a:t>
          </a:r>
        </a:p>
      </cdr:txBody>
    </cdr:sp>
  </cdr:relSizeAnchor>
  <cdr:relSizeAnchor xmlns:cdr="http://schemas.openxmlformats.org/drawingml/2006/chartDrawing">
    <cdr:from>
      <cdr:x>0.66328</cdr:x>
      <cdr:y>0.17234</cdr:y>
    </cdr:from>
    <cdr:to>
      <cdr:x>0.91621</cdr:x>
      <cdr:y>0.27444</cdr:y>
    </cdr:to>
    <cdr:sp macro="" textlink="">
      <cdr:nvSpPr>
        <cdr:cNvPr id="3" name="TextBox 2"/>
        <cdr:cNvSpPr txBox="1"/>
      </cdr:nvSpPr>
      <cdr:spPr>
        <a:xfrm xmlns:a="http://schemas.openxmlformats.org/drawingml/2006/main">
          <a:off x="1699472" y="456349"/>
          <a:ext cx="648068" cy="270356"/>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NZ" b="1"/>
            <a:t>Female</a:t>
          </a:r>
        </a:p>
      </cdr:txBody>
    </cdr:sp>
  </cdr:relSizeAnchor>
</c:userShapes>
</file>

<file path=word/drawings/drawing4.xml><?xml version="1.0" encoding="utf-8"?>
<c:userShapes xmlns:c="http://schemas.openxmlformats.org/drawingml/2006/chart">
  <cdr:relSizeAnchor xmlns:cdr="http://schemas.openxmlformats.org/drawingml/2006/chartDrawing">
    <cdr:from>
      <cdr:x>0.12708</cdr:x>
      <cdr:y>0.15616</cdr:y>
    </cdr:from>
    <cdr:to>
      <cdr:x>0.3366</cdr:x>
      <cdr:y>0.24625</cdr:y>
    </cdr:to>
    <cdr:sp macro="" textlink="">
      <cdr:nvSpPr>
        <cdr:cNvPr id="2" name="TextBox 1"/>
        <cdr:cNvSpPr txBox="1"/>
      </cdr:nvSpPr>
      <cdr:spPr>
        <a:xfrm xmlns:a="http://schemas.openxmlformats.org/drawingml/2006/main">
          <a:off x="370393" y="414991"/>
          <a:ext cx="610681" cy="23941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NZ" sz="1100" b="1"/>
            <a:t>Male</a:t>
          </a:r>
        </a:p>
      </cdr:txBody>
    </cdr:sp>
  </cdr:relSizeAnchor>
  <cdr:relSizeAnchor xmlns:cdr="http://schemas.openxmlformats.org/drawingml/2006/chartDrawing">
    <cdr:from>
      <cdr:x>0.74837</cdr:x>
      <cdr:y>0.14715</cdr:y>
    </cdr:from>
    <cdr:to>
      <cdr:x>0.97292</cdr:x>
      <cdr:y>0.24925</cdr:y>
    </cdr:to>
    <cdr:sp macro="" textlink="">
      <cdr:nvSpPr>
        <cdr:cNvPr id="3" name="TextBox 2"/>
        <cdr:cNvSpPr txBox="1"/>
      </cdr:nvSpPr>
      <cdr:spPr>
        <a:xfrm xmlns:a="http://schemas.openxmlformats.org/drawingml/2006/main">
          <a:off x="2181225" y="391047"/>
          <a:ext cx="654496" cy="27132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NZ" sz="1100" b="1"/>
            <a:t>Female</a:t>
          </a:r>
        </a:p>
      </cdr:txBody>
    </cdr:sp>
  </cdr:relSizeAnchor>
</c:userShapes>
</file>

<file path=word/drawings/drawing5.xml><?xml version="1.0" encoding="utf-8"?>
<c:userShapes xmlns:c="http://schemas.openxmlformats.org/drawingml/2006/chart">
  <cdr:relSizeAnchor xmlns:cdr="http://schemas.openxmlformats.org/drawingml/2006/chartDrawing">
    <cdr:from>
      <cdr:x>0.20474</cdr:x>
      <cdr:y>0.13598</cdr:y>
    </cdr:from>
    <cdr:to>
      <cdr:x>0.39502</cdr:x>
      <cdr:y>0.24079</cdr:y>
    </cdr:to>
    <cdr:sp macro="" textlink="">
      <cdr:nvSpPr>
        <cdr:cNvPr id="2" name="TextBox 1"/>
        <cdr:cNvSpPr txBox="1"/>
      </cdr:nvSpPr>
      <cdr:spPr>
        <a:xfrm xmlns:a="http://schemas.openxmlformats.org/drawingml/2006/main">
          <a:off x="547982" y="322507"/>
          <a:ext cx="509294" cy="24858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NZ" sz="1100" b="1"/>
            <a:t>Male</a:t>
          </a:r>
        </a:p>
      </cdr:txBody>
    </cdr:sp>
  </cdr:relSizeAnchor>
  <cdr:relSizeAnchor xmlns:cdr="http://schemas.openxmlformats.org/drawingml/2006/chartDrawing">
    <cdr:from>
      <cdr:x>0.68122</cdr:x>
      <cdr:y>0.16075</cdr:y>
    </cdr:from>
    <cdr:to>
      <cdr:x>0.8715</cdr:x>
      <cdr:y>0.26556</cdr:y>
    </cdr:to>
    <cdr:sp macro="" textlink="">
      <cdr:nvSpPr>
        <cdr:cNvPr id="3" name="TextBox 1"/>
        <cdr:cNvSpPr txBox="1"/>
      </cdr:nvSpPr>
      <cdr:spPr>
        <a:xfrm xmlns:a="http://schemas.openxmlformats.org/drawingml/2006/main">
          <a:off x="1823293" y="381259"/>
          <a:ext cx="509289" cy="248581"/>
        </a:xfrm>
        <a:prstGeom xmlns:a="http://schemas.openxmlformats.org/drawingml/2006/main" prst="rect">
          <a:avLst/>
        </a:prstGeom>
      </cdr:spPr>
    </cdr:sp>
  </cdr:relSizeAnchor>
  <cdr:relSizeAnchor xmlns:cdr="http://schemas.openxmlformats.org/drawingml/2006/chartDrawing">
    <cdr:from>
      <cdr:x>0.6506</cdr:x>
      <cdr:y>0.14399</cdr:y>
    </cdr:from>
    <cdr:to>
      <cdr:x>0.88635</cdr:x>
      <cdr:y>0.2488</cdr:y>
    </cdr:to>
    <cdr:sp macro="" textlink="">
      <cdr:nvSpPr>
        <cdr:cNvPr id="4" name="TextBox 1"/>
        <cdr:cNvSpPr txBox="1"/>
      </cdr:nvSpPr>
      <cdr:spPr>
        <a:xfrm xmlns:a="http://schemas.openxmlformats.org/drawingml/2006/main">
          <a:off x="1741337" y="341502"/>
          <a:ext cx="631002" cy="248581"/>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NZ" b="1"/>
            <a:t>Female</a:t>
          </a:r>
        </a:p>
      </cdr:txBody>
    </cdr:sp>
  </cdr:relSizeAnchor>
</c:userShapes>
</file>

<file path=word/drawings/drawing6.xml><?xml version="1.0" encoding="utf-8"?>
<c:userShapes xmlns:c="http://schemas.openxmlformats.org/drawingml/2006/chart">
  <cdr:relSizeAnchor xmlns:cdr="http://schemas.openxmlformats.org/drawingml/2006/chartDrawing">
    <cdr:from>
      <cdr:x>0.19694</cdr:x>
      <cdr:y>0.16539</cdr:y>
    </cdr:from>
    <cdr:to>
      <cdr:x>0.37353</cdr:x>
      <cdr:y>0.28936</cdr:y>
    </cdr:to>
    <cdr:sp macro="" textlink="">
      <cdr:nvSpPr>
        <cdr:cNvPr id="2" name="TextBox 1"/>
        <cdr:cNvSpPr txBox="1"/>
      </cdr:nvSpPr>
      <cdr:spPr>
        <a:xfrm xmlns:a="http://schemas.openxmlformats.org/drawingml/2006/main">
          <a:off x="553377" y="392575"/>
          <a:ext cx="496195" cy="29425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NZ" sz="1100" b="1"/>
            <a:t>Male</a:t>
          </a:r>
        </a:p>
      </cdr:txBody>
    </cdr:sp>
  </cdr:relSizeAnchor>
  <cdr:relSizeAnchor xmlns:cdr="http://schemas.openxmlformats.org/drawingml/2006/chartDrawing">
    <cdr:from>
      <cdr:x>0.67349</cdr:x>
      <cdr:y>0.17004</cdr:y>
    </cdr:from>
    <cdr:to>
      <cdr:x>0.89248</cdr:x>
      <cdr:y>0.29401</cdr:y>
    </cdr:to>
    <cdr:sp macro="" textlink="">
      <cdr:nvSpPr>
        <cdr:cNvPr id="3" name="TextBox 1"/>
        <cdr:cNvSpPr txBox="1"/>
      </cdr:nvSpPr>
      <cdr:spPr>
        <a:xfrm xmlns:a="http://schemas.openxmlformats.org/drawingml/2006/main">
          <a:off x="1892412" y="403619"/>
          <a:ext cx="615342" cy="29425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NZ" b="1"/>
            <a:t>Female</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5BE63-C86A-41B2-8990-960BE312E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12620</Words>
  <Characters>71937</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Tauranga City Council</Company>
  <LinksUpToDate>false</LinksUpToDate>
  <CharactersWithSpaces>84389</CharactersWithSpaces>
  <SharedDoc>false</SharedDoc>
  <HLinks>
    <vt:vector size="132" baseType="variant">
      <vt:variant>
        <vt:i4>1245236</vt:i4>
      </vt:variant>
      <vt:variant>
        <vt:i4>128</vt:i4>
      </vt:variant>
      <vt:variant>
        <vt:i4>0</vt:i4>
      </vt:variant>
      <vt:variant>
        <vt:i4>5</vt:i4>
      </vt:variant>
      <vt:variant>
        <vt:lpwstr/>
      </vt:variant>
      <vt:variant>
        <vt:lpwstr>_Toc331600610</vt:lpwstr>
      </vt:variant>
      <vt:variant>
        <vt:i4>1179700</vt:i4>
      </vt:variant>
      <vt:variant>
        <vt:i4>122</vt:i4>
      </vt:variant>
      <vt:variant>
        <vt:i4>0</vt:i4>
      </vt:variant>
      <vt:variant>
        <vt:i4>5</vt:i4>
      </vt:variant>
      <vt:variant>
        <vt:lpwstr/>
      </vt:variant>
      <vt:variant>
        <vt:lpwstr>_Toc331600609</vt:lpwstr>
      </vt:variant>
      <vt:variant>
        <vt:i4>1179700</vt:i4>
      </vt:variant>
      <vt:variant>
        <vt:i4>116</vt:i4>
      </vt:variant>
      <vt:variant>
        <vt:i4>0</vt:i4>
      </vt:variant>
      <vt:variant>
        <vt:i4>5</vt:i4>
      </vt:variant>
      <vt:variant>
        <vt:lpwstr/>
      </vt:variant>
      <vt:variant>
        <vt:lpwstr>_Toc331600608</vt:lpwstr>
      </vt:variant>
      <vt:variant>
        <vt:i4>1179700</vt:i4>
      </vt:variant>
      <vt:variant>
        <vt:i4>110</vt:i4>
      </vt:variant>
      <vt:variant>
        <vt:i4>0</vt:i4>
      </vt:variant>
      <vt:variant>
        <vt:i4>5</vt:i4>
      </vt:variant>
      <vt:variant>
        <vt:lpwstr/>
      </vt:variant>
      <vt:variant>
        <vt:lpwstr>_Toc331600607</vt:lpwstr>
      </vt:variant>
      <vt:variant>
        <vt:i4>1179700</vt:i4>
      </vt:variant>
      <vt:variant>
        <vt:i4>104</vt:i4>
      </vt:variant>
      <vt:variant>
        <vt:i4>0</vt:i4>
      </vt:variant>
      <vt:variant>
        <vt:i4>5</vt:i4>
      </vt:variant>
      <vt:variant>
        <vt:lpwstr/>
      </vt:variant>
      <vt:variant>
        <vt:lpwstr>_Toc331600606</vt:lpwstr>
      </vt:variant>
      <vt:variant>
        <vt:i4>1179700</vt:i4>
      </vt:variant>
      <vt:variant>
        <vt:i4>98</vt:i4>
      </vt:variant>
      <vt:variant>
        <vt:i4>0</vt:i4>
      </vt:variant>
      <vt:variant>
        <vt:i4>5</vt:i4>
      </vt:variant>
      <vt:variant>
        <vt:lpwstr/>
      </vt:variant>
      <vt:variant>
        <vt:lpwstr>_Toc331600605</vt:lpwstr>
      </vt:variant>
      <vt:variant>
        <vt:i4>1179700</vt:i4>
      </vt:variant>
      <vt:variant>
        <vt:i4>92</vt:i4>
      </vt:variant>
      <vt:variant>
        <vt:i4>0</vt:i4>
      </vt:variant>
      <vt:variant>
        <vt:i4>5</vt:i4>
      </vt:variant>
      <vt:variant>
        <vt:lpwstr/>
      </vt:variant>
      <vt:variant>
        <vt:lpwstr>_Toc331600604</vt:lpwstr>
      </vt:variant>
      <vt:variant>
        <vt:i4>1179700</vt:i4>
      </vt:variant>
      <vt:variant>
        <vt:i4>86</vt:i4>
      </vt:variant>
      <vt:variant>
        <vt:i4>0</vt:i4>
      </vt:variant>
      <vt:variant>
        <vt:i4>5</vt:i4>
      </vt:variant>
      <vt:variant>
        <vt:lpwstr/>
      </vt:variant>
      <vt:variant>
        <vt:lpwstr>_Toc331600603</vt:lpwstr>
      </vt:variant>
      <vt:variant>
        <vt:i4>1179700</vt:i4>
      </vt:variant>
      <vt:variant>
        <vt:i4>80</vt:i4>
      </vt:variant>
      <vt:variant>
        <vt:i4>0</vt:i4>
      </vt:variant>
      <vt:variant>
        <vt:i4>5</vt:i4>
      </vt:variant>
      <vt:variant>
        <vt:lpwstr/>
      </vt:variant>
      <vt:variant>
        <vt:lpwstr>_Toc331600602</vt:lpwstr>
      </vt:variant>
      <vt:variant>
        <vt:i4>1179700</vt:i4>
      </vt:variant>
      <vt:variant>
        <vt:i4>74</vt:i4>
      </vt:variant>
      <vt:variant>
        <vt:i4>0</vt:i4>
      </vt:variant>
      <vt:variant>
        <vt:i4>5</vt:i4>
      </vt:variant>
      <vt:variant>
        <vt:lpwstr/>
      </vt:variant>
      <vt:variant>
        <vt:lpwstr>_Toc331600601</vt:lpwstr>
      </vt:variant>
      <vt:variant>
        <vt:i4>1179700</vt:i4>
      </vt:variant>
      <vt:variant>
        <vt:i4>68</vt:i4>
      </vt:variant>
      <vt:variant>
        <vt:i4>0</vt:i4>
      </vt:variant>
      <vt:variant>
        <vt:i4>5</vt:i4>
      </vt:variant>
      <vt:variant>
        <vt:lpwstr/>
      </vt:variant>
      <vt:variant>
        <vt:lpwstr>_Toc331600600</vt:lpwstr>
      </vt:variant>
      <vt:variant>
        <vt:i4>1769527</vt:i4>
      </vt:variant>
      <vt:variant>
        <vt:i4>62</vt:i4>
      </vt:variant>
      <vt:variant>
        <vt:i4>0</vt:i4>
      </vt:variant>
      <vt:variant>
        <vt:i4>5</vt:i4>
      </vt:variant>
      <vt:variant>
        <vt:lpwstr/>
      </vt:variant>
      <vt:variant>
        <vt:lpwstr>_Toc331600599</vt:lpwstr>
      </vt:variant>
      <vt:variant>
        <vt:i4>1769527</vt:i4>
      </vt:variant>
      <vt:variant>
        <vt:i4>56</vt:i4>
      </vt:variant>
      <vt:variant>
        <vt:i4>0</vt:i4>
      </vt:variant>
      <vt:variant>
        <vt:i4>5</vt:i4>
      </vt:variant>
      <vt:variant>
        <vt:lpwstr/>
      </vt:variant>
      <vt:variant>
        <vt:lpwstr>_Toc331600598</vt:lpwstr>
      </vt:variant>
      <vt:variant>
        <vt:i4>1769527</vt:i4>
      </vt:variant>
      <vt:variant>
        <vt:i4>50</vt:i4>
      </vt:variant>
      <vt:variant>
        <vt:i4>0</vt:i4>
      </vt:variant>
      <vt:variant>
        <vt:i4>5</vt:i4>
      </vt:variant>
      <vt:variant>
        <vt:lpwstr/>
      </vt:variant>
      <vt:variant>
        <vt:lpwstr>_Toc331600597</vt:lpwstr>
      </vt:variant>
      <vt:variant>
        <vt:i4>1769527</vt:i4>
      </vt:variant>
      <vt:variant>
        <vt:i4>44</vt:i4>
      </vt:variant>
      <vt:variant>
        <vt:i4>0</vt:i4>
      </vt:variant>
      <vt:variant>
        <vt:i4>5</vt:i4>
      </vt:variant>
      <vt:variant>
        <vt:lpwstr/>
      </vt:variant>
      <vt:variant>
        <vt:lpwstr>_Toc331600596</vt:lpwstr>
      </vt:variant>
      <vt:variant>
        <vt:i4>1769527</vt:i4>
      </vt:variant>
      <vt:variant>
        <vt:i4>38</vt:i4>
      </vt:variant>
      <vt:variant>
        <vt:i4>0</vt:i4>
      </vt:variant>
      <vt:variant>
        <vt:i4>5</vt:i4>
      </vt:variant>
      <vt:variant>
        <vt:lpwstr/>
      </vt:variant>
      <vt:variant>
        <vt:lpwstr>_Toc331600595</vt:lpwstr>
      </vt:variant>
      <vt:variant>
        <vt:i4>1769527</vt:i4>
      </vt:variant>
      <vt:variant>
        <vt:i4>32</vt:i4>
      </vt:variant>
      <vt:variant>
        <vt:i4>0</vt:i4>
      </vt:variant>
      <vt:variant>
        <vt:i4>5</vt:i4>
      </vt:variant>
      <vt:variant>
        <vt:lpwstr/>
      </vt:variant>
      <vt:variant>
        <vt:lpwstr>_Toc331600594</vt:lpwstr>
      </vt:variant>
      <vt:variant>
        <vt:i4>1769527</vt:i4>
      </vt:variant>
      <vt:variant>
        <vt:i4>26</vt:i4>
      </vt:variant>
      <vt:variant>
        <vt:i4>0</vt:i4>
      </vt:variant>
      <vt:variant>
        <vt:i4>5</vt:i4>
      </vt:variant>
      <vt:variant>
        <vt:lpwstr/>
      </vt:variant>
      <vt:variant>
        <vt:lpwstr>_Toc331600593</vt:lpwstr>
      </vt:variant>
      <vt:variant>
        <vt:i4>1769527</vt:i4>
      </vt:variant>
      <vt:variant>
        <vt:i4>20</vt:i4>
      </vt:variant>
      <vt:variant>
        <vt:i4>0</vt:i4>
      </vt:variant>
      <vt:variant>
        <vt:i4>5</vt:i4>
      </vt:variant>
      <vt:variant>
        <vt:lpwstr/>
      </vt:variant>
      <vt:variant>
        <vt:lpwstr>_Toc331600592</vt:lpwstr>
      </vt:variant>
      <vt:variant>
        <vt:i4>1769527</vt:i4>
      </vt:variant>
      <vt:variant>
        <vt:i4>14</vt:i4>
      </vt:variant>
      <vt:variant>
        <vt:i4>0</vt:i4>
      </vt:variant>
      <vt:variant>
        <vt:i4>5</vt:i4>
      </vt:variant>
      <vt:variant>
        <vt:lpwstr/>
      </vt:variant>
      <vt:variant>
        <vt:lpwstr>_Toc331600591</vt:lpwstr>
      </vt:variant>
      <vt:variant>
        <vt:i4>1769527</vt:i4>
      </vt:variant>
      <vt:variant>
        <vt:i4>8</vt:i4>
      </vt:variant>
      <vt:variant>
        <vt:i4>0</vt:i4>
      </vt:variant>
      <vt:variant>
        <vt:i4>5</vt:i4>
      </vt:variant>
      <vt:variant>
        <vt:lpwstr/>
      </vt:variant>
      <vt:variant>
        <vt:lpwstr>_Toc331600590</vt:lpwstr>
      </vt:variant>
      <vt:variant>
        <vt:i4>1703991</vt:i4>
      </vt:variant>
      <vt:variant>
        <vt:i4>2</vt:i4>
      </vt:variant>
      <vt:variant>
        <vt:i4>0</vt:i4>
      </vt:variant>
      <vt:variant>
        <vt:i4>5</vt:i4>
      </vt:variant>
      <vt:variant>
        <vt:lpwstr/>
      </vt:variant>
      <vt:variant>
        <vt:lpwstr>_Toc331600589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fhin</dc:creator>
  <cp:lastModifiedBy>tdcguest</cp:lastModifiedBy>
  <cp:revision>2</cp:revision>
  <cp:lastPrinted>2012-11-08T19:53:00Z</cp:lastPrinted>
  <dcterms:created xsi:type="dcterms:W3CDTF">2016-08-07T21:51:00Z</dcterms:created>
  <dcterms:modified xsi:type="dcterms:W3CDTF">2016-08-07T21:51:00Z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A660725</vt:lpwstr>
  </property>
  <property fmtid="{D5CDD505-2E9C-101B-9397-08002B2CF9AE}" pid="3" name="Objective-Title">
    <vt:lpwstr>SmartGrowth Update_Report_The Implications and Opportunities of an Ageing Population in the Western Bay of Plenty Sub-region3</vt:lpwstr>
  </property>
  <property fmtid="{D5CDD505-2E9C-101B-9397-08002B2CF9AE}" pid="4" name="Objective-Comment">
    <vt:lpwstr/>
  </property>
  <property fmtid="{D5CDD505-2E9C-101B-9397-08002B2CF9AE}" pid="5" name="Objective-CreationStamp">
    <vt:filetime>2012-10-17T00:44:30Z</vt:filetime>
  </property>
  <property fmtid="{D5CDD505-2E9C-101B-9397-08002B2CF9AE}" pid="6" name="Objective-IsApproved">
    <vt:bool>false</vt:bool>
  </property>
  <property fmtid="{D5CDD505-2E9C-101B-9397-08002B2CF9AE}" pid="7" name="Objective-IsPublished">
    <vt:bool>true</vt:bool>
  </property>
  <property fmtid="{D5CDD505-2E9C-101B-9397-08002B2CF9AE}" pid="8" name="Objective-DatePublished">
    <vt:filetime>2012-10-19T04:02:04Z</vt:filetime>
  </property>
  <property fmtid="{D5CDD505-2E9C-101B-9397-08002B2CF9AE}" pid="9" name="Objective-ModificationStamp">
    <vt:filetime>2012-10-19T04:02:06Z</vt:filetime>
  </property>
  <property fmtid="{D5CDD505-2E9C-101B-9397-08002B2CF9AE}" pid="10" name="Objective-Owner">
    <vt:lpwstr>Rachael Davie</vt:lpwstr>
  </property>
  <property fmtid="{D5CDD505-2E9C-101B-9397-08002B2CF9AE}" pid="11" name="Objective-Path">
    <vt:lpwstr>Western Bay Global Folder:1. Subject:PF-Policy &amp; Planning:Monitoring &amp; Provision of Information:Population &amp; Dwellings:Population Ageing:</vt:lpwstr>
  </property>
  <property fmtid="{D5CDD505-2E9C-101B-9397-08002B2CF9AE}" pid="12" name="Objective-Parent">
    <vt:lpwstr>Population Ageing</vt:lpwstr>
  </property>
  <property fmtid="{D5CDD505-2E9C-101B-9397-08002B2CF9AE}" pid="13" name="Objective-State">
    <vt:lpwstr>Published</vt:lpwstr>
  </property>
  <property fmtid="{D5CDD505-2E9C-101B-9397-08002B2CF9AE}" pid="14" name="Objective-Version">
    <vt:lpwstr>7.0</vt:lpwstr>
  </property>
  <property fmtid="{D5CDD505-2E9C-101B-9397-08002B2CF9AE}" pid="15" name="Objective-VersionNumber">
    <vt:i4>9</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[Inherited - Internal]</vt:lpwstr>
  </property>
  <property fmtid="{D5CDD505-2E9C-101B-9397-08002B2CF9AE}" pid="19" name="Objective-Caveats">
    <vt:lpwstr/>
  </property>
  <property fmtid="{D5CDD505-2E9C-101B-9397-08002B2CF9AE}" pid="20" name="Objective-Report Type [system]">
    <vt:lpwstr>SmartGrowth</vt:lpwstr>
  </property>
  <property fmtid="{D5CDD505-2E9C-101B-9397-08002B2CF9AE}" pid="21" name="Objective-OzoneBusinessObjectID [system]">
    <vt:lpwstr/>
  </property>
  <property fmtid="{D5CDD505-2E9C-101B-9397-08002B2CF9AE}" pid="22" name="Objective-OzoneRecordID [system]">
    <vt:lpwstr/>
  </property>
  <property fmtid="{D5CDD505-2E9C-101B-9397-08002B2CF9AE}" pid="23" name="Objective-Service Request Number [system]">
    <vt:lpwstr/>
  </property>
  <property fmtid="{D5CDD505-2E9C-101B-9397-08002B2CF9AE}" pid="24" name="Objective-Parcel [system]">
    <vt:lpwstr/>
  </property>
  <property fmtid="{D5CDD505-2E9C-101B-9397-08002B2CF9AE}" pid="25" name="Objective-Parcel Id [system]">
    <vt:lpwstr/>
  </property>
  <property fmtid="{D5CDD505-2E9C-101B-9397-08002B2CF9AE}" pid="26" name="Objective-Document Date [system]">
    <vt:lpwstr/>
  </property>
  <property fmtid="{D5CDD505-2E9C-101B-9397-08002B2CF9AE}" pid="27" name="Objective-Vetted By [system]">
    <vt:lpwstr/>
  </property>
  <property fmtid="{D5CDD505-2E9C-101B-9397-08002B2CF9AE}" pid="28" name="Objective-Vetted Date [system]">
    <vt:lpwstr/>
  </property>
  <property fmtid="{D5CDD505-2E9C-101B-9397-08002B2CF9AE}" pid="29" name="Objective-Archive Box ID [system]">
    <vt:lpwstr/>
  </property>
  <property fmtid="{D5CDD505-2E9C-101B-9397-08002B2CF9AE}" pid="30" name="Objective-PSI Classification [system]">
    <vt:lpwstr/>
  </property>
</Properties>
</file>