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E59" w:rsidRDefault="005E7671" w:rsidP="006037AE">
      <w:bookmarkStart w:id="0" w:name="_GoBack"/>
      <w:bookmarkEnd w:id="0"/>
      <w:r>
        <w:rPr>
          <w:noProof/>
          <w:lang w:val="en-US"/>
        </w:rPr>
        <w:drawing>
          <wp:anchor distT="0" distB="0" distL="114300" distR="114300" simplePos="0" relativeHeight="251658240" behindDoc="0" locked="0" layoutInCell="1" allowOverlap="1">
            <wp:simplePos x="0" y="0"/>
            <wp:positionH relativeFrom="column">
              <wp:posOffset>698500</wp:posOffset>
            </wp:positionH>
            <wp:positionV relativeFrom="paragraph">
              <wp:posOffset>189865</wp:posOffset>
            </wp:positionV>
            <wp:extent cx="4330700" cy="1801495"/>
            <wp:effectExtent l="0" t="0" r="0" b="8255"/>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30700" cy="1801495"/>
                    </a:xfrm>
                    <a:prstGeom prst="rect">
                      <a:avLst/>
                    </a:prstGeom>
                    <a:noFill/>
                  </pic:spPr>
                </pic:pic>
              </a:graphicData>
            </a:graphic>
            <wp14:sizeRelH relativeFrom="page">
              <wp14:pctWidth>0</wp14:pctWidth>
            </wp14:sizeRelH>
            <wp14:sizeRelV relativeFrom="page">
              <wp14:pctHeight>0</wp14:pctHeight>
            </wp14:sizeRelV>
          </wp:anchor>
        </w:drawing>
      </w:r>
    </w:p>
    <w:p w:rsidR="001D1E59" w:rsidRDefault="001D1E59" w:rsidP="006037AE"/>
    <w:p w:rsidR="001D1E59" w:rsidRDefault="001D1E59" w:rsidP="006037AE"/>
    <w:p w:rsidR="001D1E59" w:rsidRDefault="001D1E59" w:rsidP="006037AE"/>
    <w:p w:rsidR="001D1E59" w:rsidRDefault="001D1E59" w:rsidP="006037AE"/>
    <w:p w:rsidR="001D1E59" w:rsidRDefault="001D1E59" w:rsidP="006037AE"/>
    <w:p w:rsidR="001D1E59" w:rsidRDefault="001D1E59" w:rsidP="006037AE"/>
    <w:p w:rsidR="001D1E59" w:rsidRDefault="001D1E59" w:rsidP="006037AE"/>
    <w:p w:rsidR="001D1E59" w:rsidRDefault="001D1E59" w:rsidP="006037AE"/>
    <w:p w:rsidR="001D1E59" w:rsidRDefault="001D1E59" w:rsidP="006037AE"/>
    <w:p w:rsidR="001D1E59" w:rsidRDefault="001D1E59" w:rsidP="00E94D5E">
      <w:pPr>
        <w:pBdr>
          <w:top w:val="single" w:sz="24" w:space="1" w:color="17365D"/>
        </w:pBdr>
      </w:pPr>
    </w:p>
    <w:p w:rsidR="001D1E59" w:rsidRDefault="001D1E59" w:rsidP="006037AE"/>
    <w:p w:rsidR="001D1E59" w:rsidRPr="00E94D5E" w:rsidRDefault="001D1E59" w:rsidP="00E94D5E">
      <w:pPr>
        <w:jc w:val="center"/>
        <w:rPr>
          <w:b/>
          <w:color w:val="17365D"/>
          <w:sz w:val="52"/>
        </w:rPr>
      </w:pPr>
      <w:r w:rsidRPr="00E94D5E">
        <w:rPr>
          <w:b/>
          <w:color w:val="17365D"/>
          <w:sz w:val="52"/>
        </w:rPr>
        <w:t>SMARTGROWTH UPDATE</w:t>
      </w:r>
    </w:p>
    <w:p w:rsidR="001D1E59" w:rsidRDefault="001D1E59" w:rsidP="006037AE"/>
    <w:p w:rsidR="001D1E59" w:rsidRDefault="001D1E59" w:rsidP="00E94D5E">
      <w:pPr>
        <w:pBdr>
          <w:bottom w:val="single" w:sz="24" w:space="1" w:color="17365D"/>
        </w:pBdr>
      </w:pPr>
    </w:p>
    <w:p w:rsidR="001D1E59" w:rsidRDefault="001D1E59" w:rsidP="006037AE"/>
    <w:p w:rsidR="001D1E59" w:rsidRDefault="001D1E59" w:rsidP="006037AE"/>
    <w:p w:rsidR="001D1E59" w:rsidRDefault="001D1E59" w:rsidP="006037AE"/>
    <w:p w:rsidR="001D1E59" w:rsidRDefault="001D1E59" w:rsidP="006037AE"/>
    <w:p w:rsidR="001D1E59" w:rsidRPr="00E94D5E" w:rsidRDefault="001D1E59" w:rsidP="00492C70">
      <w:pPr>
        <w:jc w:val="center"/>
        <w:rPr>
          <w:b/>
          <w:sz w:val="40"/>
        </w:rPr>
      </w:pPr>
      <w:r>
        <w:rPr>
          <w:b/>
          <w:sz w:val="40"/>
        </w:rPr>
        <w:t>Making Housing More Affordable in the western Bay of Plenty</w:t>
      </w:r>
    </w:p>
    <w:p w:rsidR="001D1E59" w:rsidRDefault="001D1E59" w:rsidP="00492C70">
      <w:pPr>
        <w:jc w:val="center"/>
      </w:pPr>
    </w:p>
    <w:p w:rsidR="001D1E59" w:rsidRDefault="001D1E59" w:rsidP="00492C70">
      <w:pPr>
        <w:jc w:val="center"/>
      </w:pPr>
    </w:p>
    <w:p w:rsidR="001D1E59" w:rsidRDefault="001D1E59" w:rsidP="00492C70">
      <w:pPr>
        <w:jc w:val="center"/>
      </w:pPr>
    </w:p>
    <w:p w:rsidR="001D1E59" w:rsidRDefault="001D1E59" w:rsidP="00E94D5E"/>
    <w:p w:rsidR="001D1E59" w:rsidRDefault="001D1E59" w:rsidP="00E94D5E"/>
    <w:p w:rsidR="001D1E59" w:rsidRDefault="001D1E59" w:rsidP="00E94D5E"/>
    <w:p w:rsidR="001D1E59" w:rsidRDefault="001D1E59" w:rsidP="00E94D5E"/>
    <w:p w:rsidR="001D1E59" w:rsidRDefault="001D1E59" w:rsidP="00E94D5E"/>
    <w:p w:rsidR="001D1E59" w:rsidRDefault="001D1E59" w:rsidP="00E94D5E"/>
    <w:p w:rsidR="001D1E59" w:rsidRDefault="001D1E59" w:rsidP="00E94D5E"/>
    <w:p w:rsidR="001D1E59" w:rsidRDefault="001D1E59" w:rsidP="00E94D5E"/>
    <w:p w:rsidR="001D1E59" w:rsidRDefault="001D1E59" w:rsidP="00E94D5E"/>
    <w:p w:rsidR="001D1E59" w:rsidRDefault="001D1E59" w:rsidP="00E94D5E"/>
    <w:p w:rsidR="001D1E59" w:rsidRDefault="001D1E59" w:rsidP="00E94D5E"/>
    <w:p w:rsidR="001D1E59" w:rsidRDefault="001D1E59" w:rsidP="00E94D5E"/>
    <w:p w:rsidR="001D1E59" w:rsidRPr="006917C7" w:rsidRDefault="001D1E59" w:rsidP="00E94D5E">
      <w:pPr>
        <w:rPr>
          <w:b/>
        </w:rPr>
      </w:pPr>
      <w:r w:rsidRPr="006917C7">
        <w:rPr>
          <w:b/>
        </w:rPr>
        <w:t>November 2012</w:t>
      </w:r>
    </w:p>
    <w:p w:rsidR="001D1E59" w:rsidRDefault="001D1E59" w:rsidP="00E94D5E"/>
    <w:p w:rsidR="001D1E59" w:rsidRDefault="001D1E59" w:rsidP="00E94D5E"/>
    <w:p w:rsidR="001D1E59" w:rsidRDefault="001D1E59" w:rsidP="0025134D">
      <w:pPr>
        <w:tabs>
          <w:tab w:val="left" w:pos="1737"/>
        </w:tabs>
      </w:pPr>
      <w:r w:rsidRPr="00E94D5E">
        <w:rPr>
          <w:b/>
        </w:rPr>
        <w:t xml:space="preserve">Prepared </w:t>
      </w:r>
      <w:r>
        <w:rPr>
          <w:b/>
        </w:rPr>
        <w:t>B</w:t>
      </w:r>
      <w:r w:rsidRPr="00E94D5E">
        <w:rPr>
          <w:b/>
        </w:rPr>
        <w:t>y:</w:t>
      </w:r>
      <w:r>
        <w:t xml:space="preserve"> </w:t>
      </w:r>
      <w:r>
        <w:tab/>
      </w:r>
      <w:smartTag w:uri="urn:schemas-microsoft-com:office:smarttags" w:element="PersonName">
        <w:r>
          <w:t>Antoine Coffin</w:t>
        </w:r>
      </w:smartTag>
      <w:r>
        <w:t xml:space="preserve">, Tu Pakari Advisor, </w:t>
      </w:r>
      <w:smartTag w:uri="urn:schemas-microsoft-com:office:smarttags" w:element="PersonName">
        <w:r>
          <w:t>Andy Ralph</w:t>
        </w:r>
      </w:smartTag>
      <w:r>
        <w:t>, Andrew Mead –Tauranga City Council, Housing Affordability Forum</w:t>
      </w:r>
    </w:p>
    <w:p w:rsidR="001D1E59" w:rsidRDefault="001D1E59" w:rsidP="0025134D">
      <w:pPr>
        <w:tabs>
          <w:tab w:val="left" w:pos="1737"/>
        </w:tabs>
        <w:ind w:left="1737"/>
      </w:pPr>
    </w:p>
    <w:p w:rsidR="001D1E59" w:rsidRDefault="001D1E59" w:rsidP="00E94D5E"/>
    <w:p w:rsidR="001D1E59" w:rsidRDefault="001D1E59" w:rsidP="00E94D5E">
      <w:pPr>
        <w:sectPr w:rsidR="001D1E59" w:rsidSect="00492C70">
          <w:headerReference w:type="even" r:id="rId9"/>
          <w:footerReference w:type="default" r:id="rId10"/>
          <w:pgSz w:w="11906" w:h="16838" w:code="9"/>
          <w:pgMar w:top="1152" w:right="1440" w:bottom="720" w:left="1440" w:header="720" w:footer="432" w:gutter="0"/>
          <w:cols w:space="720"/>
          <w:titlePg/>
          <w:rtlGutter/>
          <w:docGrid w:linePitch="299"/>
        </w:sectPr>
      </w:pPr>
    </w:p>
    <w:p w:rsidR="001D1E59" w:rsidRDefault="001D1E59" w:rsidP="00E94D5E"/>
    <w:p w:rsidR="001D1E59" w:rsidRPr="00DA6C2F" w:rsidRDefault="001D1E59" w:rsidP="00DA6C2F">
      <w:pPr>
        <w:pStyle w:val="Heading1"/>
      </w:pPr>
      <w:bookmarkStart w:id="1" w:name="_Toc338427764"/>
      <w:r w:rsidRPr="00DA6C2F">
        <w:t>EXECUTIVE SUMMARY</w:t>
      </w:r>
      <w:bookmarkEnd w:id="1"/>
    </w:p>
    <w:p w:rsidR="001D1E59" w:rsidRPr="00BC46AA" w:rsidRDefault="001D1E59" w:rsidP="00BC46AA">
      <w:pPr>
        <w:rPr>
          <w:lang w:val="en-GB"/>
        </w:rPr>
      </w:pPr>
    </w:p>
    <w:p w:rsidR="001D1E59" w:rsidRDefault="001D1E59" w:rsidP="00657046">
      <w:pPr>
        <w:spacing w:line="360" w:lineRule="auto"/>
        <w:ind w:left="720"/>
      </w:pPr>
      <w:r>
        <w:t xml:space="preserve">The purpose of this report is to provide options on an approach to housing affordability for consideration in the review of the western </w:t>
      </w:r>
      <w:smartTag w:uri="urn:schemas-microsoft-com:office:smarttags" w:element="PlaceType">
        <w:smartTag w:uri="urn:schemas-microsoft-com:office:smarttags" w:element="place">
          <w:smartTag w:uri="urn:schemas-microsoft-com:office:smarttags" w:element="PlaceType">
            <w:r>
              <w:t>Bay</w:t>
            </w:r>
          </w:smartTag>
          <w:r>
            <w:t xml:space="preserve"> of </w:t>
          </w:r>
          <w:smartTag w:uri="urn:schemas-microsoft-com:office:smarttags" w:element="PlaceName">
            <w:r>
              <w:t>Plenty SmartGrowth Strategy</w:t>
            </w:r>
          </w:smartTag>
        </w:smartTag>
      </w:smartTag>
      <w:r>
        <w:t xml:space="preserve">. </w:t>
      </w:r>
    </w:p>
    <w:p w:rsidR="001D1E59" w:rsidRDefault="001D1E59" w:rsidP="00657046">
      <w:pPr>
        <w:spacing w:line="360" w:lineRule="auto"/>
        <w:ind w:left="720"/>
      </w:pPr>
    </w:p>
    <w:p w:rsidR="001D1E59" w:rsidRDefault="001D1E59" w:rsidP="00657046">
      <w:pPr>
        <w:spacing w:line="360" w:lineRule="auto"/>
        <w:ind w:left="720"/>
      </w:pPr>
      <w:r>
        <w:t xml:space="preserve">The report outlines the national and local challenges in </w:t>
      </w:r>
      <w:r w:rsidR="00661B51">
        <w:t>making</w:t>
      </w:r>
      <w:r>
        <w:t xml:space="preserve"> </w:t>
      </w:r>
      <w:r w:rsidR="00661B51" w:rsidRPr="00661B51">
        <w:t xml:space="preserve">housing </w:t>
      </w:r>
      <w:r w:rsidR="00661B51">
        <w:t>more affordable</w:t>
      </w:r>
      <w:r>
        <w:t xml:space="preserve"> to many New Zealanders. The report uses a percentage of household income as the benchmark for ‘affordability’ and draws on information about Tauranga’s housing market to assist in understanding the scope of the issue locally. Recent information indicates that Tauranga is one of the least affordable places in </w:t>
      </w:r>
      <w:smartTag w:uri="urn:schemas-microsoft-com:office:smarttags" w:element="country-region">
        <w:smartTag w:uri="urn:schemas-microsoft-com:office:smarttags" w:element="place">
          <w:r>
            <w:t>New Zealand</w:t>
          </w:r>
        </w:smartTag>
      </w:smartTag>
      <w:r>
        <w:t xml:space="preserve"> for housing. This has implications for people’s social and economic wellbeing and for the local economy in attracting new business and employment. Recent Government announcements in response to the Productivity Commission Inquiry on </w:t>
      </w:r>
      <w:r w:rsidR="00661B51" w:rsidRPr="00661B51">
        <w:t>housing affordability</w:t>
      </w:r>
      <w:r>
        <w:t xml:space="preserve"> and other housing initiatives recently announced are briefly outlined to provide a context for central government policy.</w:t>
      </w:r>
    </w:p>
    <w:p w:rsidR="001D1E59" w:rsidRDefault="001D1E59" w:rsidP="00657046">
      <w:pPr>
        <w:spacing w:line="360" w:lineRule="auto"/>
        <w:ind w:left="720"/>
      </w:pPr>
    </w:p>
    <w:p w:rsidR="001D1E59" w:rsidRDefault="001D1E59" w:rsidP="00657046">
      <w:pPr>
        <w:spacing w:line="360" w:lineRule="auto"/>
        <w:ind w:left="720"/>
      </w:pPr>
      <w:r>
        <w:t>The report’s literature review draws from recent published material on housing affordability that illustrates some possible methods for responding to the issue.</w:t>
      </w:r>
    </w:p>
    <w:p w:rsidR="001D1E59" w:rsidRDefault="001D1E59" w:rsidP="00657046">
      <w:pPr>
        <w:spacing w:line="360" w:lineRule="auto"/>
        <w:ind w:left="720"/>
      </w:pPr>
      <w:r>
        <w:t xml:space="preserve">The report concludes by outlining some possible ways that SmartGrowth could practicably influence </w:t>
      </w:r>
      <w:r w:rsidR="00661B51" w:rsidRPr="00661B51">
        <w:t xml:space="preserve">housing affordability </w:t>
      </w:r>
      <w:r>
        <w:t xml:space="preserve">in the western Bay sub-region through land development costs, building costs and leadership, ownership, finance and funding arrangements. It is acknowledged that SmartGrowth will have only an indirect influence over the importance of raising household incomes as one method of responding to housing affordability issues. Options for consideration in the SmartGrowth Update project are outlined with possible actions under each option. </w:t>
      </w:r>
    </w:p>
    <w:p w:rsidR="001D1E59" w:rsidRPr="006B2AED" w:rsidRDefault="001D1E59" w:rsidP="000B2EDE">
      <w:pPr>
        <w:spacing w:line="360" w:lineRule="auto"/>
        <w:ind w:left="720"/>
      </w:pPr>
    </w:p>
    <w:p w:rsidR="001D1E59" w:rsidRDefault="001D1E59" w:rsidP="006B2AED">
      <w:pPr>
        <w:spacing w:line="360" w:lineRule="auto"/>
        <w:ind w:left="720"/>
        <w:rPr>
          <w:lang w:val="en-GB"/>
        </w:rPr>
      </w:pPr>
      <w:r>
        <w:rPr>
          <w:lang w:val="en-GB"/>
        </w:rPr>
        <w:t>The Policy options to be considered are:</w:t>
      </w:r>
    </w:p>
    <w:p w:rsidR="001D1E59" w:rsidRDefault="001D1E59" w:rsidP="006B2AED">
      <w:pPr>
        <w:spacing w:line="360" w:lineRule="auto"/>
        <w:ind w:left="720"/>
        <w:rPr>
          <w:lang w:val="en-GB"/>
        </w:rPr>
      </w:pPr>
    </w:p>
    <w:p w:rsidR="001D1E59" w:rsidRDefault="001D1E59" w:rsidP="006B2AED">
      <w:pPr>
        <w:spacing w:line="360" w:lineRule="auto"/>
        <w:ind w:left="720"/>
        <w:rPr>
          <w:lang w:val="en-GB"/>
        </w:rPr>
      </w:pPr>
      <w:r w:rsidRPr="00B519AB">
        <w:rPr>
          <w:b/>
          <w:lang w:val="en-GB"/>
        </w:rPr>
        <w:t xml:space="preserve">Option </w:t>
      </w:r>
      <w:r>
        <w:rPr>
          <w:b/>
          <w:lang w:val="en-GB"/>
        </w:rPr>
        <w:t>1</w:t>
      </w:r>
      <w:r>
        <w:rPr>
          <w:lang w:val="en-GB"/>
        </w:rPr>
        <w:t xml:space="preserve">: </w:t>
      </w:r>
      <w:r w:rsidRPr="00C07510">
        <w:rPr>
          <w:b/>
          <w:lang w:val="en-GB"/>
        </w:rPr>
        <w:t>Status Quo</w:t>
      </w:r>
      <w:r>
        <w:rPr>
          <w:b/>
          <w:lang w:val="en-GB"/>
        </w:rPr>
        <w:t xml:space="preserve">: </w:t>
      </w:r>
      <w:r>
        <w:rPr>
          <w:lang w:val="en-GB"/>
        </w:rPr>
        <w:t>This option continues th</w:t>
      </w:r>
      <w:r w:rsidR="0083339C">
        <w:rPr>
          <w:lang w:val="en-GB"/>
        </w:rPr>
        <w:t>e current role and function of C</w:t>
      </w:r>
      <w:r>
        <w:rPr>
          <w:lang w:val="en-GB"/>
        </w:rPr>
        <w:t>ouncil’s of maintaining investment in efficient infrastructure reviewing infrastructure levels of service and related development/ financial contributions within the Long Term Plans and annual plans decision making process. The current elderly persons’ housing property portfolio is maintained.</w:t>
      </w:r>
    </w:p>
    <w:p w:rsidR="001D1E59" w:rsidRPr="00420677" w:rsidRDefault="001D1E59" w:rsidP="006B2AED">
      <w:pPr>
        <w:spacing w:line="360" w:lineRule="auto"/>
        <w:ind w:left="720"/>
        <w:rPr>
          <w:b/>
          <w:lang w:val="en-GB"/>
        </w:rPr>
      </w:pPr>
    </w:p>
    <w:p w:rsidR="001D1E59" w:rsidRPr="00420677" w:rsidRDefault="001D1E59" w:rsidP="006B2AED">
      <w:pPr>
        <w:spacing w:line="360" w:lineRule="auto"/>
        <w:ind w:left="720"/>
        <w:rPr>
          <w:b/>
          <w:lang w:val="en-GB"/>
        </w:rPr>
      </w:pPr>
      <w:r>
        <w:rPr>
          <w:b/>
          <w:lang w:val="en-GB"/>
        </w:rPr>
        <w:t xml:space="preserve">Option 2: Incremental Improvement: </w:t>
      </w:r>
      <w:r w:rsidRPr="00420677">
        <w:rPr>
          <w:lang w:val="en-GB"/>
        </w:rPr>
        <w:t>This option</w:t>
      </w:r>
      <w:r>
        <w:rPr>
          <w:b/>
          <w:lang w:val="en-GB"/>
        </w:rPr>
        <w:t xml:space="preserve"> </w:t>
      </w:r>
      <w:r w:rsidRPr="007E3BEB">
        <w:rPr>
          <w:u w:val="single"/>
          <w:lang w:val="en-GB"/>
        </w:rPr>
        <w:t>adds to</w:t>
      </w:r>
      <w:r w:rsidRPr="00A27A61">
        <w:rPr>
          <w:lang w:val="en-GB"/>
        </w:rPr>
        <w:t xml:space="preserve"> the status quo actions. It </w:t>
      </w:r>
      <w:r>
        <w:rPr>
          <w:lang w:val="en-GB"/>
        </w:rPr>
        <w:t xml:space="preserve">suggests </w:t>
      </w:r>
      <w:r w:rsidRPr="002F6799">
        <w:rPr>
          <w:lang w:val="en-GB"/>
        </w:rPr>
        <w:t xml:space="preserve">gradual and steady </w:t>
      </w:r>
      <w:r>
        <w:rPr>
          <w:lang w:val="en-GB"/>
        </w:rPr>
        <w:t xml:space="preserve">review and appropriate </w:t>
      </w:r>
      <w:r w:rsidR="0083339C">
        <w:rPr>
          <w:lang w:val="en-GB"/>
        </w:rPr>
        <w:t>adjustments in</w:t>
      </w:r>
      <w:r w:rsidRPr="002F6799">
        <w:rPr>
          <w:lang w:val="en-GB"/>
        </w:rPr>
        <w:t xml:space="preserve"> planning policy</w:t>
      </w:r>
      <w:r>
        <w:rPr>
          <w:lang w:val="en-GB"/>
        </w:rPr>
        <w:t xml:space="preserve"> and rules following active engagement of local developers and other interest groups </w:t>
      </w:r>
      <w:r>
        <w:rPr>
          <w:lang w:val="en-GB"/>
        </w:rPr>
        <w:lastRenderedPageBreak/>
        <w:t xml:space="preserve">on potential barriers to </w:t>
      </w:r>
      <w:r w:rsidR="00661B51" w:rsidRPr="00661B51">
        <w:rPr>
          <w:lang w:val="en-GB"/>
        </w:rPr>
        <w:t>housing affordability</w:t>
      </w:r>
      <w:r w:rsidR="00661B51">
        <w:rPr>
          <w:lang w:val="en-GB"/>
        </w:rPr>
        <w:t>.</w:t>
      </w:r>
      <w:r>
        <w:rPr>
          <w:lang w:val="en-GB"/>
        </w:rPr>
        <w:t xml:space="preserve"> More efficient use of the current elderly persons’ housing property portfolio is explored. </w:t>
      </w:r>
    </w:p>
    <w:p w:rsidR="001D1E59" w:rsidRDefault="001D1E59" w:rsidP="006B2AED">
      <w:pPr>
        <w:spacing w:line="360" w:lineRule="auto"/>
        <w:ind w:left="720"/>
        <w:rPr>
          <w:lang w:val="en-GB"/>
        </w:rPr>
      </w:pPr>
    </w:p>
    <w:p w:rsidR="001D1E59" w:rsidRDefault="001D1E59" w:rsidP="006B2AED">
      <w:pPr>
        <w:spacing w:line="360" w:lineRule="auto"/>
        <w:ind w:left="720"/>
        <w:rPr>
          <w:lang w:val="en-GB"/>
        </w:rPr>
      </w:pPr>
      <w:r w:rsidRPr="006B08B0">
        <w:rPr>
          <w:b/>
          <w:lang w:val="en-GB"/>
        </w:rPr>
        <w:t>Option 3</w:t>
      </w:r>
      <w:r>
        <w:rPr>
          <w:b/>
          <w:lang w:val="en-GB"/>
        </w:rPr>
        <w:t xml:space="preserve">: Proactive Leadership: </w:t>
      </w:r>
      <w:r w:rsidRPr="00A27A61">
        <w:rPr>
          <w:lang w:val="en-GB"/>
        </w:rPr>
        <w:t xml:space="preserve">This option </w:t>
      </w:r>
      <w:r w:rsidRPr="007E3BEB">
        <w:rPr>
          <w:u w:val="single"/>
          <w:lang w:val="en-GB"/>
        </w:rPr>
        <w:t>adds to</w:t>
      </w:r>
      <w:r w:rsidRPr="00A27A61">
        <w:rPr>
          <w:lang w:val="en-GB"/>
        </w:rPr>
        <w:t xml:space="preserve"> the status quo and incremental improvement actions.</w:t>
      </w:r>
      <w:r>
        <w:rPr>
          <w:b/>
          <w:lang w:val="en-GB"/>
        </w:rPr>
        <w:t xml:space="preserve"> </w:t>
      </w:r>
      <w:r w:rsidRPr="007E3BEB">
        <w:rPr>
          <w:lang w:val="en-GB"/>
        </w:rPr>
        <w:t>The focus includes</w:t>
      </w:r>
      <w:r>
        <w:rPr>
          <w:b/>
          <w:lang w:val="en-GB"/>
        </w:rPr>
        <w:t xml:space="preserve"> </w:t>
      </w:r>
      <w:r>
        <w:rPr>
          <w:lang w:val="en-GB"/>
        </w:rPr>
        <w:t>strong advocacy, leadership and facilitation role</w:t>
      </w:r>
      <w:r w:rsidRPr="002F6799">
        <w:rPr>
          <w:lang w:val="en-GB"/>
        </w:rPr>
        <w:t xml:space="preserve"> and </w:t>
      </w:r>
      <w:r>
        <w:rPr>
          <w:lang w:val="en-GB"/>
        </w:rPr>
        <w:t>actively work with central government agencies, third-sector groups, the development and construction sector and the financial sector to increase the supply of affordable housing in the western BOP sub-region.</w:t>
      </w:r>
      <w:r w:rsidRPr="00D036A7">
        <w:rPr>
          <w:lang w:val="en-GB"/>
        </w:rPr>
        <w:t xml:space="preserve"> </w:t>
      </w:r>
    </w:p>
    <w:p w:rsidR="001D1E59" w:rsidRDefault="001D1E59" w:rsidP="006B2AED">
      <w:pPr>
        <w:spacing w:line="360" w:lineRule="auto"/>
        <w:ind w:left="720"/>
        <w:rPr>
          <w:lang w:val="en-GB"/>
        </w:rPr>
      </w:pPr>
    </w:p>
    <w:p w:rsidR="001D1E59" w:rsidRDefault="001D1E59" w:rsidP="00C93C36">
      <w:pPr>
        <w:spacing w:line="360" w:lineRule="auto"/>
        <w:ind w:left="720"/>
        <w:rPr>
          <w:lang w:val="en-GB"/>
        </w:rPr>
      </w:pPr>
      <w:r>
        <w:rPr>
          <w:lang w:val="en-GB"/>
        </w:rPr>
        <w:t xml:space="preserve">The SmartGrowth Update provides an </w:t>
      </w:r>
      <w:r w:rsidRPr="002F6799">
        <w:rPr>
          <w:lang w:val="en-GB"/>
        </w:rPr>
        <w:t xml:space="preserve">opportunity to </w:t>
      </w:r>
      <w:r>
        <w:rPr>
          <w:lang w:val="en-GB"/>
        </w:rPr>
        <w:t xml:space="preserve">review and restate what the role of SmartGrowth is in influencing the complex issue of </w:t>
      </w:r>
      <w:r w:rsidR="00661B51" w:rsidRPr="00661B51">
        <w:rPr>
          <w:lang w:val="en-GB"/>
        </w:rPr>
        <w:t xml:space="preserve">housing affordability </w:t>
      </w:r>
      <w:r>
        <w:rPr>
          <w:lang w:val="en-GB"/>
        </w:rPr>
        <w:t>in the western Bay of Plenty.</w:t>
      </w:r>
    </w:p>
    <w:p w:rsidR="001D1E59" w:rsidRDefault="001D1E59" w:rsidP="00C93C36">
      <w:pPr>
        <w:spacing w:line="360" w:lineRule="auto"/>
        <w:ind w:left="720"/>
        <w:rPr>
          <w:lang w:val="en-GB"/>
        </w:rPr>
      </w:pPr>
    </w:p>
    <w:p w:rsidR="001D1E59" w:rsidRPr="002576BD" w:rsidRDefault="001D1E59" w:rsidP="002576BD">
      <w:pPr>
        <w:spacing w:line="360" w:lineRule="auto"/>
        <w:ind w:left="720"/>
        <w:rPr>
          <w:lang w:val="en-GB"/>
        </w:rPr>
      </w:pPr>
      <w:r>
        <w:rPr>
          <w:lang w:val="en-GB"/>
        </w:rPr>
        <w:t xml:space="preserve">The report and the options proposed need to be considered alongside the current government emphasis on the issue and in light of the fact that </w:t>
      </w:r>
      <w:r w:rsidRPr="00B0278E">
        <w:rPr>
          <w:lang w:val="en-GB"/>
        </w:rPr>
        <w:t>Tauranga is one of the least affordable area</w:t>
      </w:r>
      <w:r>
        <w:rPr>
          <w:lang w:val="en-GB"/>
        </w:rPr>
        <w:t>s</w:t>
      </w:r>
      <w:r w:rsidRPr="00B0278E">
        <w:rPr>
          <w:lang w:val="en-GB"/>
        </w:rPr>
        <w:t xml:space="preserve"> for buying a property in New Zealand, with the average house price being 5.9 times higher than the annual income. (Demographia 2012).</w:t>
      </w:r>
    </w:p>
    <w:p w:rsidR="001D1E59" w:rsidRDefault="001D1E59" w:rsidP="00E94D5E">
      <w:r>
        <w:br w:type="page"/>
      </w:r>
    </w:p>
    <w:p w:rsidR="001D1E59" w:rsidRPr="00BC46AA" w:rsidRDefault="001D1E59" w:rsidP="00DA6C2F">
      <w:pPr>
        <w:pStyle w:val="Heading1"/>
      </w:pPr>
      <w:bookmarkStart w:id="2" w:name="_Toc338427766"/>
      <w:r>
        <w:lastRenderedPageBreak/>
        <w:t>PURPOSE</w:t>
      </w:r>
      <w:bookmarkEnd w:id="2"/>
    </w:p>
    <w:p w:rsidR="001D1E59" w:rsidRPr="00BC46AA" w:rsidRDefault="001D1E59" w:rsidP="00595198">
      <w:pPr>
        <w:spacing w:line="360" w:lineRule="auto"/>
        <w:rPr>
          <w:lang w:val="en-GB"/>
        </w:rPr>
      </w:pPr>
    </w:p>
    <w:p w:rsidR="001D1E59" w:rsidRDefault="001D1E59" w:rsidP="00595198">
      <w:pPr>
        <w:spacing w:line="360" w:lineRule="auto"/>
        <w:ind w:left="720"/>
      </w:pPr>
      <w:r>
        <w:t xml:space="preserve">The purpose of this report is to provide options on an approach to housing affordability for consideration in the review of the western </w:t>
      </w:r>
      <w:smartTag w:uri="urn:schemas-microsoft-com:office:smarttags" w:element="PlaceName">
        <w:smartTag w:uri="urn:schemas-microsoft-com:office:smarttags" w:element="PlaceType">
          <w:smartTag w:uri="urn:schemas-microsoft-com:office:smarttags" w:element="place">
            <w:smartTag w:uri="urn:schemas-microsoft-com:office:smarttags" w:element="PlaceType">
              <w:r>
                <w:t>Bay</w:t>
              </w:r>
            </w:smartTag>
          </w:smartTag>
          <w:r>
            <w:t xml:space="preserve"> of </w:t>
          </w:r>
          <w:smartTag w:uri="urn:schemas-microsoft-com:office:smarttags" w:element="PlaceName">
            <w:r>
              <w:t>Plenty SmartGrowth Strategy</w:t>
            </w:r>
          </w:smartTag>
        </w:smartTag>
      </w:smartTag>
      <w:r>
        <w:t xml:space="preserve">.  </w:t>
      </w:r>
    </w:p>
    <w:p w:rsidR="001D1E59" w:rsidRDefault="001D1E59" w:rsidP="00595198">
      <w:pPr>
        <w:spacing w:line="360" w:lineRule="auto"/>
      </w:pPr>
    </w:p>
    <w:p w:rsidR="001D1E59" w:rsidRPr="00F34649" w:rsidRDefault="001D1E59" w:rsidP="00C93C36">
      <w:pPr>
        <w:pStyle w:val="Heading2"/>
        <w:tabs>
          <w:tab w:val="clear" w:pos="2810"/>
          <w:tab w:val="num" w:pos="709"/>
        </w:tabs>
        <w:spacing w:line="360" w:lineRule="auto"/>
        <w:ind w:hanging="2810"/>
        <w:rPr>
          <w:u w:val="none"/>
        </w:rPr>
      </w:pPr>
      <w:bookmarkStart w:id="3" w:name="_Toc338427767"/>
      <w:r w:rsidRPr="00F34649">
        <w:rPr>
          <w:u w:val="none"/>
        </w:rPr>
        <w:t>Definitions</w:t>
      </w:r>
    </w:p>
    <w:p w:rsidR="001D1E59" w:rsidRDefault="001D1E59" w:rsidP="00AE3538">
      <w:pPr>
        <w:ind w:firstLine="720"/>
      </w:pPr>
    </w:p>
    <w:p w:rsidR="0093208D" w:rsidRDefault="0093208D" w:rsidP="0093208D">
      <w:pPr>
        <w:spacing w:line="360" w:lineRule="auto"/>
        <w:ind w:left="720"/>
        <w:rPr>
          <w:rFonts w:ascii="ArialMT" w:hAnsi="ArialMT" w:cs="ArialMT"/>
        </w:rPr>
      </w:pPr>
      <w:r w:rsidRPr="00AE3538">
        <w:rPr>
          <w:b/>
        </w:rPr>
        <w:t>Housing Affordability</w:t>
      </w:r>
      <w:r w:rsidRPr="00AE3538">
        <w:t xml:space="preserve">: </w:t>
      </w:r>
      <w:r w:rsidRPr="00D17AD7">
        <w:t xml:space="preserve">Is a situation which reflects accepted United Nations global benchmarks, where no more than one third of total household income is used to pay either rental or ownership costs. There are also other ways of expressing the concept. For example, a reference point in the western </w:t>
      </w:r>
      <w:smartTag w:uri="urn:schemas-microsoft-com:office:smarttags" w:element="PlaceName">
        <w:smartTag w:uri="urn:schemas-microsoft-com:office:smarttags" w:element="PlaceType">
          <w:smartTag w:uri="urn:schemas-microsoft-com:office:smarttags" w:element="place">
            <w:smartTag w:uri="urn:schemas-microsoft-com:office:smarttags" w:element="PlaceType">
              <w:r w:rsidRPr="00D17AD7">
                <w:t>Bay</w:t>
              </w:r>
            </w:smartTag>
          </w:smartTag>
          <w:r w:rsidRPr="00D17AD7">
            <w:t xml:space="preserve"> of </w:t>
          </w:r>
          <w:smartTag w:uri="urn:schemas-microsoft-com:office:smarttags" w:element="PlaceName">
            <w:r w:rsidRPr="00D17AD7">
              <w:t>Plenty</w:t>
            </w:r>
          </w:smartTag>
        </w:smartTag>
      </w:smartTag>
      <w:r w:rsidRPr="00D17AD7">
        <w:t xml:space="preserve"> discussion has focused on the cost of a house; under $400,000, although for many $300,000 to $350,000 is the limit.  In Māori communities building on multiply-owned land, as part of </w:t>
      </w:r>
      <w:r w:rsidR="0016659F" w:rsidRPr="00D17AD7">
        <w:t>Papakainga</w:t>
      </w:r>
      <w:r w:rsidRPr="00D17AD7">
        <w:t xml:space="preserve"> project work, an affordable house is likely to be a lesser price point; maybe $200,000.</w:t>
      </w:r>
    </w:p>
    <w:p w:rsidR="0093208D" w:rsidRPr="00EC49F6" w:rsidRDefault="0093208D" w:rsidP="0093208D">
      <w:pPr>
        <w:spacing w:line="360" w:lineRule="auto"/>
        <w:ind w:left="720"/>
        <w:rPr>
          <w:lang w:val="en-GB"/>
        </w:rPr>
      </w:pPr>
    </w:p>
    <w:p w:rsidR="001D1E59" w:rsidRDefault="001D1E59" w:rsidP="00AE3538">
      <w:pPr>
        <w:spacing w:line="360" w:lineRule="auto"/>
        <w:ind w:left="720"/>
      </w:pPr>
      <w:r w:rsidRPr="005536AC">
        <w:rPr>
          <w:b/>
        </w:rPr>
        <w:t>Social housing</w:t>
      </w:r>
      <w:r>
        <w:rPr>
          <w:b/>
        </w:rPr>
        <w:t>:</w:t>
      </w:r>
      <w:r>
        <w:t xml:space="preserve"> Is the provision of assistance with housing to those who cannot otherwise meet their own housing needs.  This assistance can either be ‘in kind’, through to the provision of a dwelling, or ‘in cash’ through the transfer of subsidies to increase housing affordability.  In NZ social housing is primarily delivered by central government, to a much lesser extent local councils, Maori Trusts and community housing trusts also provide social housing.</w:t>
      </w:r>
    </w:p>
    <w:p w:rsidR="001D1E59" w:rsidRDefault="001D1E59" w:rsidP="00AE3538">
      <w:pPr>
        <w:spacing w:line="360" w:lineRule="auto"/>
        <w:ind w:left="720"/>
      </w:pPr>
    </w:p>
    <w:p w:rsidR="001D1E59" w:rsidRPr="009513FC" w:rsidRDefault="001D1E59" w:rsidP="00AE3538">
      <w:pPr>
        <w:spacing w:line="360" w:lineRule="auto"/>
        <w:ind w:left="720"/>
      </w:pPr>
      <w:r w:rsidRPr="00AE3538">
        <w:rPr>
          <w:b/>
        </w:rPr>
        <w:t>Development Viability</w:t>
      </w:r>
      <w:r>
        <w:t xml:space="preserve">: Is a risk management tool used by decision makers to reduce the likelihood of key policy outcomes not being implemented. </w:t>
      </w:r>
      <w:r w:rsidR="0083339C">
        <w:t>This analysis has been used to assess the risk</w:t>
      </w:r>
      <w:r>
        <w:t xml:space="preserve"> </w:t>
      </w:r>
      <w:r w:rsidR="0083339C">
        <w:t xml:space="preserve">of </w:t>
      </w:r>
      <w:r>
        <w:t>higher density housing developments not being built because there is no market demand or confidence due to the development being unprofitable from a cost/rate of return perspective.</w:t>
      </w:r>
    </w:p>
    <w:p w:rsidR="001D1E59" w:rsidRDefault="001D1E59" w:rsidP="00AE3538">
      <w:pPr>
        <w:ind w:firstLine="720"/>
      </w:pPr>
    </w:p>
    <w:p w:rsidR="001D1E59" w:rsidRPr="00F34649" w:rsidRDefault="001D1E59" w:rsidP="00C93C36">
      <w:pPr>
        <w:pStyle w:val="Heading2"/>
        <w:tabs>
          <w:tab w:val="clear" w:pos="2810"/>
          <w:tab w:val="num" w:pos="709"/>
        </w:tabs>
        <w:spacing w:line="360" w:lineRule="auto"/>
        <w:ind w:hanging="2810"/>
        <w:rPr>
          <w:u w:val="none"/>
        </w:rPr>
      </w:pPr>
      <w:r w:rsidRPr="00F34649">
        <w:rPr>
          <w:u w:val="none"/>
        </w:rPr>
        <w:t>Limitations</w:t>
      </w:r>
      <w:bookmarkEnd w:id="3"/>
    </w:p>
    <w:p w:rsidR="001D1E59" w:rsidRDefault="001D1E59" w:rsidP="00595198">
      <w:pPr>
        <w:spacing w:line="360" w:lineRule="auto"/>
        <w:ind w:left="720"/>
        <w:rPr>
          <w:lang w:val="en-GB"/>
        </w:rPr>
      </w:pPr>
      <w:r>
        <w:t xml:space="preserve">This report acknowledges that there are number of stakeholders who have a part to play in making housing more affordable.  It is a complex subject and people will see the subject through a number of viewpoints and even define </w:t>
      </w:r>
      <w:r w:rsidR="00EB4737" w:rsidRPr="00EB4737">
        <w:t xml:space="preserve">housing affordability </w:t>
      </w:r>
      <w:r>
        <w:t>in different ways.</w:t>
      </w:r>
      <w:r>
        <w:rPr>
          <w:lang w:val="en-GB"/>
        </w:rPr>
        <w:t xml:space="preserve"> </w:t>
      </w:r>
    </w:p>
    <w:p w:rsidR="001D1E59" w:rsidRDefault="001D1E59" w:rsidP="00595198">
      <w:pPr>
        <w:spacing w:line="360" w:lineRule="auto"/>
        <w:ind w:left="720"/>
      </w:pPr>
    </w:p>
    <w:p w:rsidR="001D1E59" w:rsidRDefault="001D1E59" w:rsidP="00595198">
      <w:pPr>
        <w:spacing w:line="360" w:lineRule="auto"/>
        <w:ind w:left="720"/>
      </w:pPr>
      <w:r>
        <w:t xml:space="preserve">This report focuses on the potential delivery of </w:t>
      </w:r>
      <w:r w:rsidRPr="00B02E64">
        <w:rPr>
          <w:b/>
        </w:rPr>
        <w:t>new</w:t>
      </w:r>
      <w:r>
        <w:t xml:space="preserve"> housing in an affordable way as there is little SmartGrowth can do to directly affect the housing market for existing houses including rental housing, except, to the extent that the price of new housing may affect the price of existing housing. </w:t>
      </w:r>
      <w:bookmarkStart w:id="4" w:name="_Toc338427768"/>
    </w:p>
    <w:p w:rsidR="0093208D" w:rsidRDefault="0093208D" w:rsidP="00595198">
      <w:pPr>
        <w:spacing w:line="360" w:lineRule="auto"/>
        <w:ind w:left="720"/>
      </w:pPr>
    </w:p>
    <w:p w:rsidR="001D1E59" w:rsidRDefault="001D1E59" w:rsidP="00595198">
      <w:pPr>
        <w:spacing w:line="360" w:lineRule="auto"/>
        <w:ind w:left="720"/>
      </w:pPr>
      <w:r>
        <w:t>This report does not focus specifically on Māori Housing given that that issue was the subject of a separate report and has been picked up by way of the following action in the ‘Cultural Heritage and Change’ section of the Updated SmartGrowth Strategy;</w:t>
      </w:r>
    </w:p>
    <w:p w:rsidR="001D1E59" w:rsidRDefault="001D1E59" w:rsidP="00595198">
      <w:pPr>
        <w:spacing w:line="360" w:lineRule="auto"/>
        <w:ind w:left="720"/>
      </w:pPr>
    </w:p>
    <w:p w:rsidR="001D1E59" w:rsidRPr="00E37213" w:rsidRDefault="001D1E59" w:rsidP="00E37213">
      <w:pPr>
        <w:spacing w:line="360" w:lineRule="auto"/>
        <w:ind w:left="720"/>
        <w:rPr>
          <w:b/>
          <w:i/>
        </w:rPr>
      </w:pPr>
      <w:r w:rsidRPr="00E37213">
        <w:rPr>
          <w:b/>
          <w:i/>
        </w:rPr>
        <w:t xml:space="preserve">Facilitation of Papakainga Development </w:t>
      </w:r>
    </w:p>
    <w:p w:rsidR="001D1E59" w:rsidRPr="00E37213" w:rsidRDefault="001D1E59" w:rsidP="00D17AD7">
      <w:pPr>
        <w:pStyle w:val="ListParagraph"/>
        <w:numPr>
          <w:ilvl w:val="0"/>
          <w:numId w:val="25"/>
        </w:numPr>
        <w:spacing w:line="360" w:lineRule="auto"/>
        <w:rPr>
          <w:i/>
          <w:sz w:val="22"/>
          <w:szCs w:val="22"/>
        </w:rPr>
      </w:pPr>
      <w:r w:rsidRPr="00E37213">
        <w:rPr>
          <w:i/>
          <w:sz w:val="22"/>
          <w:szCs w:val="22"/>
        </w:rPr>
        <w:t>Provide on-going recognition and support (which may include direct funding) to the  Joint Agency Group</w:t>
      </w:r>
    </w:p>
    <w:p w:rsidR="001D1E59" w:rsidRPr="00E37213" w:rsidRDefault="001D1E59" w:rsidP="00D17AD7">
      <w:pPr>
        <w:pStyle w:val="ListParagraph"/>
        <w:numPr>
          <w:ilvl w:val="0"/>
          <w:numId w:val="25"/>
        </w:numPr>
        <w:spacing w:line="360" w:lineRule="auto"/>
        <w:rPr>
          <w:i/>
          <w:sz w:val="22"/>
          <w:szCs w:val="22"/>
        </w:rPr>
      </w:pPr>
      <w:r w:rsidRPr="00E37213">
        <w:rPr>
          <w:i/>
          <w:sz w:val="22"/>
          <w:szCs w:val="22"/>
        </w:rPr>
        <w:t xml:space="preserve">Enable low impact urban design requirements that are suitable to Papakāinga developments </w:t>
      </w:r>
    </w:p>
    <w:p w:rsidR="001D1E59" w:rsidRPr="00E37213" w:rsidRDefault="001D1E59" w:rsidP="00D17AD7">
      <w:pPr>
        <w:pStyle w:val="ListParagraph"/>
        <w:numPr>
          <w:ilvl w:val="0"/>
          <w:numId w:val="25"/>
        </w:numPr>
        <w:spacing w:line="360" w:lineRule="auto"/>
        <w:rPr>
          <w:i/>
          <w:sz w:val="22"/>
          <w:szCs w:val="22"/>
        </w:rPr>
      </w:pPr>
      <w:r w:rsidRPr="00E37213">
        <w:rPr>
          <w:i/>
          <w:sz w:val="22"/>
          <w:szCs w:val="22"/>
        </w:rPr>
        <w:t>Provide assistance with relationship building and approaches to funding providers</w:t>
      </w:r>
    </w:p>
    <w:p w:rsidR="001D1E59" w:rsidRPr="00E37213" w:rsidRDefault="001D1E59" w:rsidP="00D17AD7">
      <w:pPr>
        <w:pStyle w:val="ListParagraph"/>
        <w:numPr>
          <w:ilvl w:val="0"/>
          <w:numId w:val="25"/>
        </w:numPr>
        <w:spacing w:line="360" w:lineRule="auto"/>
        <w:rPr>
          <w:i/>
          <w:sz w:val="22"/>
          <w:szCs w:val="22"/>
        </w:rPr>
      </w:pPr>
      <w:r w:rsidRPr="00E37213">
        <w:rPr>
          <w:i/>
          <w:sz w:val="22"/>
          <w:szCs w:val="22"/>
        </w:rPr>
        <w:t xml:space="preserve">Enable </w:t>
      </w:r>
      <w:r w:rsidR="0016659F" w:rsidRPr="00E37213">
        <w:rPr>
          <w:i/>
          <w:sz w:val="22"/>
          <w:szCs w:val="22"/>
        </w:rPr>
        <w:t>Papakainga</w:t>
      </w:r>
      <w:r w:rsidRPr="00E37213">
        <w:rPr>
          <w:i/>
          <w:sz w:val="22"/>
          <w:szCs w:val="22"/>
        </w:rPr>
        <w:t xml:space="preserve"> settlements to include some small scale commercial/retail activity and other community facilities.</w:t>
      </w:r>
    </w:p>
    <w:p w:rsidR="001D1E59" w:rsidRDefault="001D1E59" w:rsidP="00595198">
      <w:pPr>
        <w:spacing w:line="360" w:lineRule="auto"/>
        <w:ind w:left="720"/>
      </w:pPr>
    </w:p>
    <w:p w:rsidR="0093208D" w:rsidRDefault="0093208D" w:rsidP="0093208D">
      <w:pPr>
        <w:spacing w:line="360" w:lineRule="auto"/>
        <w:ind w:left="720"/>
      </w:pPr>
      <w:r w:rsidRPr="00D17AD7">
        <w:t>The report has been prepared in collaboration with the SmartGrowth Housing Affordability Forum.  This forum was established to investigate the development of housing affordability solutions for the sub-region and comprises representatives from the development community, real estate sector, Housing NZ Corporation, the Population Ageing Technical Advisory Group, social housing trusts, economic development practitioners, local authorities (elected members and officers) urban design specialists and planners.</w:t>
      </w:r>
    </w:p>
    <w:p w:rsidR="0093208D" w:rsidRDefault="0093208D" w:rsidP="0093208D">
      <w:pPr>
        <w:spacing w:line="360" w:lineRule="auto"/>
        <w:ind w:left="720"/>
      </w:pPr>
    </w:p>
    <w:p w:rsidR="0093208D" w:rsidRPr="0093208D" w:rsidRDefault="001D1E59" w:rsidP="0093208D">
      <w:pPr>
        <w:spacing w:line="360" w:lineRule="auto"/>
        <w:ind w:left="720"/>
      </w:pPr>
      <w:r>
        <w:t xml:space="preserve">The </w:t>
      </w:r>
      <w:bookmarkEnd w:id="4"/>
      <w:r>
        <w:t>authors wish to acknowledge and thank the</w:t>
      </w:r>
      <w:r>
        <w:rPr>
          <w:lang w:val="en-GB"/>
        </w:rPr>
        <w:t xml:space="preserve"> Housing Affordability Forum and the Maori Housing Joint Advisory Group (JAG) for their support and assistance in preparing this report.  </w:t>
      </w:r>
    </w:p>
    <w:p w:rsidR="001D1E59" w:rsidRDefault="001D1E59" w:rsidP="00595198">
      <w:pPr>
        <w:spacing w:line="360" w:lineRule="auto"/>
        <w:ind w:left="720"/>
        <w:rPr>
          <w:lang w:val="en-GB"/>
        </w:rPr>
      </w:pPr>
    </w:p>
    <w:p w:rsidR="001D1E59" w:rsidRDefault="001D1E59" w:rsidP="005B48A4">
      <w:pPr>
        <w:ind w:left="720"/>
        <w:rPr>
          <w:lang w:val="en-GB"/>
        </w:rPr>
      </w:pPr>
    </w:p>
    <w:p w:rsidR="001D1E59" w:rsidRPr="00BC46AA" w:rsidRDefault="001D1E59" w:rsidP="00DA6C2F">
      <w:pPr>
        <w:pStyle w:val="Heading1"/>
      </w:pPr>
      <w:bookmarkStart w:id="5" w:name="_Toc338427769"/>
      <w:r>
        <w:t>BACKGROUND</w:t>
      </w:r>
      <w:bookmarkEnd w:id="5"/>
    </w:p>
    <w:p w:rsidR="001D1E59" w:rsidRDefault="001D1E59" w:rsidP="00BC46AA">
      <w:pPr>
        <w:rPr>
          <w:lang w:val="en-GB"/>
        </w:rPr>
      </w:pPr>
    </w:p>
    <w:p w:rsidR="001D1E59" w:rsidRPr="00F34649" w:rsidRDefault="001D1E59" w:rsidP="00C93C36">
      <w:pPr>
        <w:pStyle w:val="Heading2"/>
        <w:tabs>
          <w:tab w:val="clear" w:pos="2810"/>
          <w:tab w:val="num" w:pos="709"/>
        </w:tabs>
        <w:ind w:hanging="2810"/>
        <w:rPr>
          <w:u w:val="none"/>
        </w:rPr>
      </w:pPr>
      <w:bookmarkStart w:id="6" w:name="_Toc338427770"/>
      <w:r w:rsidRPr="00F34649">
        <w:rPr>
          <w:u w:val="none"/>
        </w:rPr>
        <w:t>Affordable Housing in the Current SmartGrowth Strategy</w:t>
      </w:r>
      <w:bookmarkEnd w:id="6"/>
    </w:p>
    <w:p w:rsidR="001D1E59" w:rsidRDefault="001D1E59" w:rsidP="00E25071">
      <w:pPr>
        <w:autoSpaceDE w:val="0"/>
        <w:autoSpaceDN w:val="0"/>
        <w:adjustRightInd w:val="0"/>
        <w:spacing w:line="360" w:lineRule="auto"/>
        <w:ind w:left="720"/>
      </w:pPr>
    </w:p>
    <w:p w:rsidR="001D1E59" w:rsidRDefault="001D1E59" w:rsidP="00E25071">
      <w:pPr>
        <w:autoSpaceDE w:val="0"/>
        <w:autoSpaceDN w:val="0"/>
        <w:adjustRightInd w:val="0"/>
        <w:spacing w:line="360" w:lineRule="auto"/>
        <w:ind w:left="720"/>
      </w:pPr>
      <w:r w:rsidRPr="002F6799">
        <w:t xml:space="preserve">Section 7.2.13 of the current Strategy covers the issue of affordable housing. This section raises a number of growth-related issues that influence the delivery of affordable housing, sets out seven principles and a number of actions. </w:t>
      </w:r>
      <w:r w:rsidR="00EB4737">
        <w:t>H</w:t>
      </w:r>
      <w:r w:rsidR="00EB4737" w:rsidRPr="00EB4737">
        <w:t xml:space="preserve">ousing affordability </w:t>
      </w:r>
      <w:r>
        <w:t xml:space="preserve">is </w:t>
      </w:r>
      <w:r w:rsidRPr="002F6799">
        <w:t>a matter of</w:t>
      </w:r>
      <w:r>
        <w:t xml:space="preserve"> social and community wellbeing and of economic wellbeing. For example, economic growth in the western </w:t>
      </w:r>
      <w:smartTag w:uri="urn:schemas-microsoft-com:office:smarttags" w:element="PlaceName">
        <w:smartTag w:uri="urn:schemas-microsoft-com:office:smarttags" w:element="PlaceType">
          <w:smartTag w:uri="urn:schemas-microsoft-com:office:smarttags" w:element="place">
            <w:smartTag w:uri="urn:schemas-microsoft-com:office:smarttags" w:element="PlaceType">
              <w:r>
                <w:t>Bay</w:t>
              </w:r>
            </w:smartTag>
          </w:smartTag>
          <w:r>
            <w:t xml:space="preserve"> of </w:t>
          </w:r>
          <w:smartTag w:uri="urn:schemas-microsoft-com:office:smarttags" w:element="PlaceName">
            <w:r>
              <w:t>Plenty</w:t>
            </w:r>
          </w:smartTag>
        </w:smartTag>
      </w:smartTag>
      <w:r>
        <w:t xml:space="preserve"> is hampered by the inability of some people to access good quality, affordable housing as many of these people are part of a workforce that produces, manufactures or services the needs of the local economy. </w:t>
      </w:r>
    </w:p>
    <w:p w:rsidR="001D1E59" w:rsidRPr="002F6799" w:rsidRDefault="001D1E59" w:rsidP="00E25071">
      <w:pPr>
        <w:autoSpaceDE w:val="0"/>
        <w:autoSpaceDN w:val="0"/>
        <w:adjustRightInd w:val="0"/>
        <w:spacing w:line="360" w:lineRule="auto"/>
        <w:ind w:left="720"/>
      </w:pPr>
    </w:p>
    <w:p w:rsidR="001D1E59" w:rsidRPr="002F6799" w:rsidRDefault="001D1E59" w:rsidP="00E25071">
      <w:pPr>
        <w:autoSpaceDE w:val="0"/>
        <w:autoSpaceDN w:val="0"/>
        <w:adjustRightInd w:val="0"/>
        <w:spacing w:line="360" w:lineRule="auto"/>
        <w:ind w:left="720"/>
      </w:pPr>
      <w:r w:rsidRPr="002F6799">
        <w:t>The current Strategy acknowledges that housing affordability is influenced by employment and wage rates, transport costs and the price of land and building construction</w:t>
      </w:r>
      <w:r>
        <w:t xml:space="preserve"> (as well as a number of other factors)</w:t>
      </w:r>
      <w:r w:rsidRPr="002F6799">
        <w:t xml:space="preserve">. There are a number of </w:t>
      </w:r>
      <w:r>
        <w:t>organisations</w:t>
      </w:r>
      <w:r w:rsidRPr="002F6799">
        <w:t xml:space="preserve"> involved in providing affo</w:t>
      </w:r>
      <w:r w:rsidR="0083339C">
        <w:t>rdable housing in our community</w:t>
      </w:r>
      <w:r w:rsidRPr="002F6799">
        <w:t xml:space="preserve"> and there is no one, right model. There is an acceptance that the private market, left to it</w:t>
      </w:r>
      <w:r w:rsidR="00EB4737">
        <w:t>s</w:t>
      </w:r>
      <w:r w:rsidRPr="002F6799">
        <w:t xml:space="preserve"> own devices, </w:t>
      </w:r>
      <w:r>
        <w:t>has been</w:t>
      </w:r>
      <w:r w:rsidRPr="002F6799">
        <w:t xml:space="preserve"> unable to deliver housing</w:t>
      </w:r>
      <w:r w:rsidR="00EB4737">
        <w:t xml:space="preserve"> affordability</w:t>
      </w:r>
      <w:r w:rsidRPr="002F6799">
        <w:t>, and that central government particularly, has the primary responsibility to provide social housing to New Zealanders.</w:t>
      </w:r>
      <w:r>
        <w:t xml:space="preserve"> For example, the National Governments recent announcement on adjusting the housing mix in the Hobinsonville project and the Labour Party’s recent policy announcement of building 10,000 houses per annum at a price point of $300,000 each is a political acknowledgment that the private market is not delivering housing</w:t>
      </w:r>
      <w:r w:rsidR="00EB4737">
        <w:t xml:space="preserve"> </w:t>
      </w:r>
      <w:r w:rsidR="00A556E5">
        <w:t>affordability</w:t>
      </w:r>
      <w:r>
        <w:t xml:space="preserve"> for New Zealanders.</w:t>
      </w:r>
    </w:p>
    <w:p w:rsidR="001D1E59" w:rsidRPr="002F6799" w:rsidRDefault="001D1E59" w:rsidP="00E25071">
      <w:pPr>
        <w:autoSpaceDE w:val="0"/>
        <w:autoSpaceDN w:val="0"/>
        <w:adjustRightInd w:val="0"/>
        <w:spacing w:line="360" w:lineRule="auto"/>
        <w:ind w:left="720"/>
      </w:pPr>
    </w:p>
    <w:p w:rsidR="001D1E59" w:rsidRPr="002F6799" w:rsidRDefault="001D1E59" w:rsidP="00E25071">
      <w:pPr>
        <w:autoSpaceDE w:val="0"/>
        <w:autoSpaceDN w:val="0"/>
        <w:adjustRightInd w:val="0"/>
        <w:spacing w:line="360" w:lineRule="auto"/>
        <w:ind w:left="720"/>
      </w:pPr>
      <w:r>
        <w:t>Section 7.2.13</w:t>
      </w:r>
      <w:r w:rsidRPr="002F6799">
        <w:t xml:space="preserve"> has a clearly worded statement </w:t>
      </w:r>
      <w:r>
        <w:t xml:space="preserve">regarding </w:t>
      </w:r>
      <w:r w:rsidRPr="002F6799">
        <w:t>Counci</w:t>
      </w:r>
      <w:r>
        <w:t>ls</w:t>
      </w:r>
      <w:r w:rsidRPr="002F6799">
        <w:t>’ role in th</w:t>
      </w:r>
      <w:r>
        <w:t>e provision of affordable housing:</w:t>
      </w:r>
    </w:p>
    <w:p w:rsidR="001D1E59" w:rsidRDefault="001D1E59" w:rsidP="00E25071">
      <w:pPr>
        <w:autoSpaceDE w:val="0"/>
        <w:autoSpaceDN w:val="0"/>
        <w:adjustRightInd w:val="0"/>
        <w:spacing w:line="360" w:lineRule="auto"/>
        <w:ind w:left="720"/>
        <w:rPr>
          <w:i/>
        </w:rPr>
      </w:pPr>
      <w:r w:rsidRPr="002F6799">
        <w:rPr>
          <w:i/>
        </w:rPr>
        <w:t>“The position of the two [district] Councils is that affordable housing is ultimately the responsibility of central government and that this cost should not be transferred to the ratepayer.”</w:t>
      </w:r>
    </w:p>
    <w:p w:rsidR="001D1E59" w:rsidRPr="002F6799" w:rsidRDefault="001D1E59" w:rsidP="00E25071">
      <w:pPr>
        <w:autoSpaceDE w:val="0"/>
        <w:autoSpaceDN w:val="0"/>
        <w:adjustRightInd w:val="0"/>
        <w:spacing w:line="360" w:lineRule="auto"/>
        <w:ind w:left="720"/>
        <w:rPr>
          <w:i/>
        </w:rPr>
      </w:pPr>
    </w:p>
    <w:p w:rsidR="001D1E59" w:rsidRPr="00975F5B" w:rsidRDefault="001D1E59" w:rsidP="00E25071">
      <w:pPr>
        <w:autoSpaceDE w:val="0"/>
        <w:autoSpaceDN w:val="0"/>
        <w:adjustRightInd w:val="0"/>
        <w:spacing w:line="360" w:lineRule="auto"/>
        <w:ind w:left="720"/>
        <w:rPr>
          <w:sz w:val="20"/>
          <w:szCs w:val="20"/>
          <w:u w:val="single"/>
        </w:rPr>
      </w:pPr>
      <w:r w:rsidRPr="00975F5B">
        <w:rPr>
          <w:sz w:val="20"/>
          <w:szCs w:val="20"/>
          <w:u w:val="single"/>
        </w:rPr>
        <w:t>SmartGrowth Strategy and Implementation Plan May 2007, Page 129.</w:t>
      </w:r>
    </w:p>
    <w:p w:rsidR="001D1E59" w:rsidRPr="002F6799" w:rsidRDefault="001D1E59" w:rsidP="00E25071">
      <w:pPr>
        <w:autoSpaceDE w:val="0"/>
        <w:autoSpaceDN w:val="0"/>
        <w:adjustRightInd w:val="0"/>
        <w:spacing w:line="360" w:lineRule="auto"/>
        <w:ind w:left="720"/>
        <w:rPr>
          <w:i/>
        </w:rPr>
      </w:pPr>
    </w:p>
    <w:p w:rsidR="001D1E59" w:rsidRPr="002F6799" w:rsidRDefault="001D1E59" w:rsidP="00E25071">
      <w:pPr>
        <w:autoSpaceDE w:val="0"/>
        <w:autoSpaceDN w:val="0"/>
        <w:adjustRightInd w:val="0"/>
        <w:spacing w:line="360" w:lineRule="auto"/>
        <w:ind w:left="720"/>
      </w:pPr>
      <w:r w:rsidRPr="002F6799">
        <w:t>This section also outlines options that were considered by the two Councils but were not supported:</w:t>
      </w:r>
    </w:p>
    <w:p w:rsidR="001D1E59" w:rsidRPr="002F6799" w:rsidRDefault="001D1E59" w:rsidP="00D17AD7">
      <w:pPr>
        <w:numPr>
          <w:ilvl w:val="0"/>
          <w:numId w:val="9"/>
        </w:numPr>
        <w:autoSpaceDE w:val="0"/>
        <w:autoSpaceDN w:val="0"/>
        <w:adjustRightInd w:val="0"/>
        <w:spacing w:line="360" w:lineRule="auto"/>
      </w:pPr>
      <w:r w:rsidRPr="002F6799">
        <w:t>Inclusionary zoning (</w:t>
      </w:r>
      <w:r>
        <w:t xml:space="preserve">require housing developers to provide a </w:t>
      </w:r>
      <w:r w:rsidRPr="002F6799">
        <w:t>% of new houses to be</w:t>
      </w:r>
      <w:r>
        <w:t xml:space="preserve"> for the affordable housing market),</w:t>
      </w:r>
    </w:p>
    <w:p w:rsidR="001D1E59" w:rsidRPr="002F6799" w:rsidRDefault="001D1E59" w:rsidP="00D17AD7">
      <w:pPr>
        <w:numPr>
          <w:ilvl w:val="0"/>
          <w:numId w:val="9"/>
        </w:numPr>
        <w:autoSpaceDE w:val="0"/>
        <w:autoSpaceDN w:val="0"/>
        <w:adjustRightInd w:val="0"/>
        <w:spacing w:line="360" w:lineRule="auto"/>
      </w:pPr>
      <w:r w:rsidRPr="002F6799">
        <w:t>Waiver or deferred payment of development contributions, building and resource consent fees</w:t>
      </w:r>
      <w:r>
        <w:t>,</w:t>
      </w:r>
    </w:p>
    <w:p w:rsidR="001D1E59" w:rsidRPr="002F6799" w:rsidRDefault="001D1E59" w:rsidP="00D17AD7">
      <w:pPr>
        <w:numPr>
          <w:ilvl w:val="0"/>
          <w:numId w:val="9"/>
        </w:numPr>
        <w:autoSpaceDE w:val="0"/>
        <w:autoSpaceDN w:val="0"/>
        <w:adjustRightInd w:val="0"/>
        <w:spacing w:line="360" w:lineRule="auto"/>
      </w:pPr>
      <w:r w:rsidRPr="002F6799">
        <w:t>Increasing Council</w:t>
      </w:r>
      <w:r>
        <w:t>’s</w:t>
      </w:r>
      <w:r w:rsidRPr="002F6799">
        <w:t xml:space="preserve"> existing housing stock through market acquisition</w:t>
      </w:r>
      <w:r>
        <w:t>,</w:t>
      </w:r>
    </w:p>
    <w:p w:rsidR="001D1E59" w:rsidRPr="002F6799" w:rsidRDefault="001D1E59" w:rsidP="00D17AD7">
      <w:pPr>
        <w:numPr>
          <w:ilvl w:val="0"/>
          <w:numId w:val="9"/>
        </w:numPr>
        <w:autoSpaceDE w:val="0"/>
        <w:autoSpaceDN w:val="0"/>
        <w:adjustRightInd w:val="0"/>
        <w:spacing w:line="360" w:lineRule="auto"/>
      </w:pPr>
      <w:r w:rsidRPr="002F6799">
        <w:t>Council funding of other parties as leverage</w:t>
      </w:r>
      <w:r>
        <w:t xml:space="preserve"> or seeding capital for projects</w:t>
      </w:r>
      <w:r w:rsidRPr="002F6799">
        <w:t>.</w:t>
      </w:r>
    </w:p>
    <w:p w:rsidR="001D1E59" w:rsidRPr="002F6799" w:rsidRDefault="001D1E59" w:rsidP="00EC49F6">
      <w:pPr>
        <w:autoSpaceDE w:val="0"/>
        <w:autoSpaceDN w:val="0"/>
        <w:adjustRightInd w:val="0"/>
        <w:spacing w:line="360" w:lineRule="auto"/>
        <w:ind w:left="720"/>
      </w:pPr>
    </w:p>
    <w:p w:rsidR="001D1E59" w:rsidRDefault="001D1E59" w:rsidP="007E0958">
      <w:pPr>
        <w:autoSpaceDE w:val="0"/>
        <w:autoSpaceDN w:val="0"/>
        <w:adjustRightInd w:val="0"/>
        <w:spacing w:line="360" w:lineRule="auto"/>
        <w:ind w:left="720"/>
      </w:pPr>
      <w:r w:rsidRPr="002F6799">
        <w:t xml:space="preserve">The actions in the current Strategy outline an advocacy role for local authorities and using the regulatory tools to support housing supply e.g. zoning of land to meet population growth, and acknowledging the link between housing and seasonal workforce demand through SmartEconomy. Four of the five actions in the strategy involve research, advocacy and support for external agencies </w:t>
      </w:r>
      <w:r w:rsidRPr="00D17AD7">
        <w:t>providing social housing</w:t>
      </w:r>
      <w:r w:rsidR="00A556E5" w:rsidRPr="00D17AD7">
        <w:t xml:space="preserve"> rather than focusing on overall housing affordability.</w:t>
      </w:r>
    </w:p>
    <w:p w:rsidR="00310E68" w:rsidRDefault="00310E68" w:rsidP="007E0958">
      <w:pPr>
        <w:autoSpaceDE w:val="0"/>
        <w:autoSpaceDN w:val="0"/>
        <w:adjustRightInd w:val="0"/>
        <w:spacing w:line="360" w:lineRule="auto"/>
        <w:ind w:left="720"/>
      </w:pPr>
    </w:p>
    <w:p w:rsidR="001D1E59" w:rsidRDefault="001D1E59" w:rsidP="007E0958">
      <w:pPr>
        <w:autoSpaceDE w:val="0"/>
        <w:autoSpaceDN w:val="0"/>
        <w:adjustRightInd w:val="0"/>
        <w:spacing w:line="360" w:lineRule="auto"/>
        <w:ind w:left="720"/>
      </w:pPr>
      <w:r w:rsidRPr="002F6799">
        <w:t xml:space="preserve">The SmartGrowth partners </w:t>
      </w:r>
      <w:r>
        <w:t>have not</w:t>
      </w:r>
      <w:r w:rsidRPr="002F6799">
        <w:t xml:space="preserve"> take</w:t>
      </w:r>
      <w:r>
        <w:t xml:space="preserve">n </w:t>
      </w:r>
      <w:r w:rsidRPr="002F6799">
        <w:t xml:space="preserve">financial or leadership responsibility for </w:t>
      </w:r>
      <w:r w:rsidR="00EB4737" w:rsidRPr="00EB4737">
        <w:t>housing affordability</w:t>
      </w:r>
      <w:r w:rsidRPr="002F6799">
        <w:t xml:space="preserve"> under the current Strategy approach</w:t>
      </w:r>
      <w:r>
        <w:t>. Instead councils manage their current elderly persons housing portfolios, endeavour to deliver cost effective and efficient infrastructure to support new housing areas in a viable way, and develop planning provisions covering the bulk and scale of houses within a site and the wider neighbourhood that enable a range of housing typologies to be developed.</w:t>
      </w:r>
    </w:p>
    <w:p w:rsidR="001D1E59" w:rsidRPr="002F6799" w:rsidRDefault="001D1E59" w:rsidP="007E0958">
      <w:pPr>
        <w:autoSpaceDE w:val="0"/>
        <w:autoSpaceDN w:val="0"/>
        <w:adjustRightInd w:val="0"/>
        <w:spacing w:line="360" w:lineRule="auto"/>
        <w:ind w:left="720"/>
      </w:pPr>
    </w:p>
    <w:p w:rsidR="001D1E59" w:rsidRDefault="0083339C" w:rsidP="007E0958">
      <w:pPr>
        <w:autoSpaceDE w:val="0"/>
        <w:autoSpaceDN w:val="0"/>
        <w:adjustRightInd w:val="0"/>
        <w:spacing w:line="360" w:lineRule="auto"/>
        <w:ind w:left="720"/>
      </w:pPr>
      <w:r>
        <w:t>The Housing Affordability Forum was</w:t>
      </w:r>
      <w:r w:rsidR="001D1E59">
        <w:t xml:space="preserve"> also convened under the SmartGrowth umbrella to raise awareness and advocate for </w:t>
      </w:r>
      <w:r w:rsidR="00EB4737" w:rsidRPr="00EB4737">
        <w:t xml:space="preserve">housing affordability </w:t>
      </w:r>
      <w:r w:rsidR="001D1E59">
        <w:t>includi</w:t>
      </w:r>
      <w:r w:rsidR="00EB4737">
        <w:t>ng providing advic</w:t>
      </w:r>
      <w:r w:rsidR="001D1E59">
        <w:t>e to the SmartGrowth partners on housing affordability issues and possible actions.</w:t>
      </w:r>
      <w:r w:rsidR="001D1E59" w:rsidRPr="009A2564">
        <w:t xml:space="preserve"> </w:t>
      </w:r>
      <w:r w:rsidR="001D1E59" w:rsidRPr="002F6799">
        <w:t>The Housing Affordability Forum has been oper</w:t>
      </w:r>
      <w:r w:rsidR="001D1E59">
        <w:t>ating for some time now and has</w:t>
      </w:r>
      <w:r w:rsidR="001D1E59" w:rsidRPr="002F6799">
        <w:t xml:space="preserve"> made significant input into this report including contributing experiences, workshop f</w:t>
      </w:r>
      <w:r w:rsidR="001D1E59">
        <w:t>eedback and reference material.</w:t>
      </w:r>
      <w:r w:rsidR="00EB4737">
        <w:t xml:space="preserve"> </w:t>
      </w:r>
    </w:p>
    <w:p w:rsidR="001D1E59" w:rsidRPr="002F6799" w:rsidRDefault="001D1E59" w:rsidP="007E0958">
      <w:pPr>
        <w:autoSpaceDE w:val="0"/>
        <w:autoSpaceDN w:val="0"/>
        <w:adjustRightInd w:val="0"/>
        <w:spacing w:line="360" w:lineRule="auto"/>
        <w:ind w:left="720"/>
      </w:pPr>
    </w:p>
    <w:p w:rsidR="001D1E59" w:rsidRPr="00975F5B" w:rsidRDefault="001D1E59" w:rsidP="00C93C36">
      <w:pPr>
        <w:pStyle w:val="Heading2"/>
        <w:tabs>
          <w:tab w:val="clear" w:pos="2810"/>
          <w:tab w:val="num" w:pos="709"/>
        </w:tabs>
        <w:ind w:hanging="2810"/>
        <w:rPr>
          <w:rFonts w:ascii="Arial" w:hAnsi="Arial"/>
          <w:u w:val="none"/>
        </w:rPr>
      </w:pPr>
      <w:bookmarkStart w:id="7" w:name="_Toc338427772"/>
      <w:r w:rsidRPr="00975F5B">
        <w:rPr>
          <w:rFonts w:ascii="Arial" w:hAnsi="Arial"/>
          <w:u w:val="none"/>
        </w:rPr>
        <w:t>The national challenge of delivering housing</w:t>
      </w:r>
      <w:bookmarkEnd w:id="7"/>
      <w:r w:rsidR="00EB4737">
        <w:rPr>
          <w:rFonts w:ascii="Arial" w:hAnsi="Arial"/>
          <w:u w:val="none"/>
        </w:rPr>
        <w:t xml:space="preserve"> affordability</w:t>
      </w:r>
    </w:p>
    <w:p w:rsidR="001D1E59" w:rsidRPr="00C00F7B" w:rsidRDefault="001D1E59" w:rsidP="00C00F7B">
      <w:pPr>
        <w:pStyle w:val="BodyText"/>
        <w:rPr>
          <w:lang w:val="en-NZ"/>
        </w:rPr>
      </w:pPr>
    </w:p>
    <w:p w:rsidR="001D1E59" w:rsidRDefault="001D1E59" w:rsidP="00C00F7B">
      <w:pPr>
        <w:autoSpaceDE w:val="0"/>
        <w:autoSpaceDN w:val="0"/>
        <w:adjustRightInd w:val="0"/>
        <w:spacing w:line="360" w:lineRule="auto"/>
        <w:ind w:left="720"/>
      </w:pPr>
      <w:r>
        <w:t>In recent times t</w:t>
      </w:r>
      <w:r w:rsidRPr="002F6799">
        <w:t>here have been a number of housing affordabi</w:t>
      </w:r>
      <w:r>
        <w:t>lity initiatives acknowledging the complexity and multiple contributing factors to providing and maintaining an affordable housing supply in New Zealand. For example:</w:t>
      </w:r>
    </w:p>
    <w:p w:rsidR="001D1E59" w:rsidRDefault="001D1E59" w:rsidP="00D17AD7">
      <w:pPr>
        <w:numPr>
          <w:ilvl w:val="0"/>
          <w:numId w:val="10"/>
        </w:numPr>
        <w:autoSpaceDE w:val="0"/>
        <w:autoSpaceDN w:val="0"/>
        <w:adjustRightInd w:val="0"/>
        <w:spacing w:line="360" w:lineRule="auto"/>
      </w:pPr>
      <w:r w:rsidRPr="002F6799">
        <w:t xml:space="preserve">The Commerce Select Committee Inquiry into Housing Affordability in 2007, </w:t>
      </w:r>
    </w:p>
    <w:p w:rsidR="001D1E59" w:rsidRDefault="001D1E59" w:rsidP="00D17AD7">
      <w:pPr>
        <w:numPr>
          <w:ilvl w:val="0"/>
          <w:numId w:val="10"/>
        </w:numPr>
        <w:autoSpaceDE w:val="0"/>
        <w:autoSpaceDN w:val="0"/>
        <w:adjustRightInd w:val="0"/>
        <w:spacing w:line="360" w:lineRule="auto"/>
      </w:pPr>
      <w:r>
        <w:t>T</w:t>
      </w:r>
      <w:r w:rsidRPr="002F6799">
        <w:t xml:space="preserve">he Affordable Housing : Enabling Territorial Authorities Act 2008 which was subsequently repealed, </w:t>
      </w:r>
    </w:p>
    <w:p w:rsidR="001D1E59" w:rsidRDefault="001D1E59" w:rsidP="00D17AD7">
      <w:pPr>
        <w:numPr>
          <w:ilvl w:val="0"/>
          <w:numId w:val="10"/>
        </w:numPr>
        <w:autoSpaceDE w:val="0"/>
        <w:autoSpaceDN w:val="0"/>
        <w:adjustRightInd w:val="0"/>
        <w:spacing w:line="360" w:lineRule="auto"/>
      </w:pPr>
      <w:r>
        <w:t>A</w:t>
      </w:r>
      <w:r w:rsidRPr="002F6799">
        <w:t xml:space="preserve"> number of research projects and studies into the issue undertaken by the Housing New Zealand Corporation and the Centre fo</w:t>
      </w:r>
      <w:r>
        <w:t>r Housing Research,</w:t>
      </w:r>
    </w:p>
    <w:p w:rsidR="001D1E59" w:rsidRDefault="001D1E59" w:rsidP="00D17AD7">
      <w:pPr>
        <w:numPr>
          <w:ilvl w:val="0"/>
          <w:numId w:val="10"/>
        </w:numPr>
        <w:autoSpaceDE w:val="0"/>
        <w:autoSpaceDN w:val="0"/>
        <w:adjustRightInd w:val="0"/>
        <w:spacing w:line="360" w:lineRule="auto"/>
      </w:pPr>
      <w:r>
        <w:t>T</w:t>
      </w:r>
      <w:r w:rsidRPr="002F6799">
        <w:t>he recently released Housing Affordability Inquiry report f</w:t>
      </w:r>
      <w:r>
        <w:t>rom the Productivity Commission, and</w:t>
      </w:r>
    </w:p>
    <w:p w:rsidR="001D1E59" w:rsidRPr="002F6799" w:rsidRDefault="001D1E59" w:rsidP="00D17AD7">
      <w:pPr>
        <w:numPr>
          <w:ilvl w:val="0"/>
          <w:numId w:val="10"/>
        </w:numPr>
        <w:autoSpaceDE w:val="0"/>
        <w:autoSpaceDN w:val="0"/>
        <w:adjustRightInd w:val="0"/>
        <w:spacing w:line="360" w:lineRule="auto"/>
      </w:pPr>
      <w:r>
        <w:t xml:space="preserve">Recent policy announcements by the Minister of Housing and </w:t>
      </w:r>
      <w:r w:rsidR="00EB4737">
        <w:t xml:space="preserve">the </w:t>
      </w:r>
      <w:r>
        <w:t xml:space="preserve">Labour </w:t>
      </w:r>
      <w:r w:rsidR="00EB4737">
        <w:t xml:space="preserve">party </w:t>
      </w:r>
      <w:r>
        <w:t>on boosting affordable housing delivery.</w:t>
      </w:r>
    </w:p>
    <w:p w:rsidR="001D1E59" w:rsidRDefault="001D1E59" w:rsidP="00C00F7B">
      <w:pPr>
        <w:autoSpaceDE w:val="0"/>
        <w:autoSpaceDN w:val="0"/>
        <w:adjustRightInd w:val="0"/>
        <w:spacing w:line="360" w:lineRule="auto"/>
        <w:ind w:left="720"/>
      </w:pPr>
    </w:p>
    <w:p w:rsidR="001D1E59" w:rsidRDefault="001D1E59" w:rsidP="00C00F7B">
      <w:pPr>
        <w:autoSpaceDE w:val="0"/>
        <w:autoSpaceDN w:val="0"/>
        <w:adjustRightInd w:val="0"/>
        <w:spacing w:line="360" w:lineRule="auto"/>
        <w:ind w:left="720"/>
      </w:pPr>
      <w:r>
        <w:t>This national research and analysis, and the political thinking shows that h</w:t>
      </w:r>
      <w:r w:rsidRPr="002F6799">
        <w:t>ousing affordability is a complicated area</w:t>
      </w:r>
      <w:r>
        <w:t xml:space="preserve"> of public policy</w:t>
      </w:r>
      <w:r w:rsidRPr="002F6799">
        <w:t xml:space="preserve"> and there are no single or simple solutions to the problem. </w:t>
      </w:r>
      <w:r>
        <w:t>The recent Government policy response to the Productivity Commission report indicates a number of actions. The National Government is not proposing to have a significant role in the provision of affordable housing (acknowledging the recent announcement in relation to Hobsonville project and the Tamaki Transformation Project), preferring to focus on local government’s role; for example, increasing land supply by zoning more Greenfield and/or Brownfield land</w:t>
      </w:r>
      <w:r w:rsidRPr="002F6799">
        <w:t xml:space="preserve"> for residential development</w:t>
      </w:r>
      <w:r>
        <w:t xml:space="preserve"> and reducing other regulatory costs and infrastructure costs. It has a strong focus on Auckland where urban planning issues relating to metropolitan urban limits are different from other areas in New Zealand.</w:t>
      </w:r>
    </w:p>
    <w:p w:rsidR="001D1E59" w:rsidRDefault="001D1E59" w:rsidP="00AF4568">
      <w:pPr>
        <w:pStyle w:val="BodyText"/>
        <w:ind w:left="0"/>
        <w:rPr>
          <w:b/>
          <w:lang w:val="en-NZ"/>
        </w:rPr>
      </w:pPr>
      <w:r w:rsidRPr="00AF4568">
        <w:rPr>
          <w:b/>
          <w:lang w:val="en-NZ"/>
        </w:rPr>
        <w:t>3.3</w:t>
      </w:r>
      <w:r w:rsidRPr="00AF4568">
        <w:rPr>
          <w:b/>
          <w:lang w:val="en-NZ"/>
        </w:rPr>
        <w:tab/>
        <w:t xml:space="preserve"> The local challenge of delivering housing</w:t>
      </w:r>
      <w:r w:rsidR="00EB4737">
        <w:rPr>
          <w:b/>
          <w:lang w:val="en-NZ"/>
        </w:rPr>
        <w:t xml:space="preserve"> affordability</w:t>
      </w:r>
    </w:p>
    <w:p w:rsidR="001D1E59" w:rsidRPr="00AF4568" w:rsidRDefault="001D1E59" w:rsidP="00AF4568">
      <w:pPr>
        <w:pStyle w:val="BodyText"/>
        <w:ind w:left="0"/>
        <w:rPr>
          <w:b/>
          <w:lang w:val="en-NZ"/>
        </w:rPr>
      </w:pPr>
    </w:p>
    <w:p w:rsidR="001D1E59" w:rsidRDefault="001D1E59" w:rsidP="0092403E">
      <w:pPr>
        <w:autoSpaceDE w:val="0"/>
        <w:autoSpaceDN w:val="0"/>
        <w:adjustRightInd w:val="0"/>
        <w:spacing w:line="360" w:lineRule="auto"/>
        <w:ind w:left="720"/>
      </w:pPr>
      <w:r w:rsidRPr="002F6799">
        <w:t xml:space="preserve">The western Bay of Plenty </w:t>
      </w:r>
      <w:r>
        <w:t xml:space="preserve">has experienced high population and housing growth over the least 20 plus years. In this period of sustained growth a </w:t>
      </w:r>
      <w:r w:rsidRPr="002F6799">
        <w:t xml:space="preserve">significant challenge </w:t>
      </w:r>
      <w:r>
        <w:t>has evolved being the delivery of</w:t>
      </w:r>
      <w:r w:rsidRPr="002F6799">
        <w:t xml:space="preserve"> affordable housing</w:t>
      </w:r>
      <w:r>
        <w:t xml:space="preserve"> to some sectors of the community.</w:t>
      </w:r>
      <w:r w:rsidRPr="002F6799">
        <w:t xml:space="preserve"> This re</w:t>
      </w:r>
      <w:r>
        <w:t>lates to both rental housing and owner-occupier housing. This problem primarily aro</w:t>
      </w:r>
      <w:r w:rsidRPr="002F6799">
        <w:t>s</w:t>
      </w:r>
      <w:r>
        <w:t>e through a long period of</w:t>
      </w:r>
      <w:r w:rsidRPr="002F6799">
        <w:t xml:space="preserve"> housing inflation, especially between the years 2000-2008, </w:t>
      </w:r>
      <w:r>
        <w:t xml:space="preserve">that </w:t>
      </w:r>
      <w:r w:rsidRPr="002F6799">
        <w:t>significantly outstripped the rate of income growth</w:t>
      </w:r>
      <w:r>
        <w:t>,</w:t>
      </w:r>
      <w:r w:rsidRPr="002F6799">
        <w:t xml:space="preserve"> and </w:t>
      </w:r>
      <w:r>
        <w:t xml:space="preserve">fuelled </w:t>
      </w:r>
      <w:r w:rsidRPr="002F6799">
        <w:t xml:space="preserve">the high cost of sections and </w:t>
      </w:r>
      <w:r>
        <w:t>constructing</w:t>
      </w:r>
      <w:r w:rsidRPr="002F6799">
        <w:t xml:space="preserve"> a new home.</w:t>
      </w:r>
      <w:r>
        <w:t xml:space="preserve"> It affects the sub-sets of the housing market; private housing, social housing and Maori housing and is particularly difficult for low-medium income households.</w:t>
      </w:r>
    </w:p>
    <w:p w:rsidR="001D1E59" w:rsidRDefault="001D1E59" w:rsidP="0092403E">
      <w:pPr>
        <w:autoSpaceDE w:val="0"/>
        <w:autoSpaceDN w:val="0"/>
        <w:adjustRightInd w:val="0"/>
        <w:spacing w:line="360" w:lineRule="auto"/>
        <w:ind w:left="720"/>
      </w:pPr>
    </w:p>
    <w:p w:rsidR="001D1E59" w:rsidRPr="007414EE" w:rsidRDefault="001D1E59" w:rsidP="007414EE">
      <w:pPr>
        <w:autoSpaceDE w:val="0"/>
        <w:autoSpaceDN w:val="0"/>
        <w:adjustRightInd w:val="0"/>
        <w:spacing w:line="360" w:lineRule="auto"/>
        <w:ind w:left="720"/>
      </w:pPr>
      <w:r w:rsidRPr="007414EE">
        <w:t>The following are comments from two different external advisors on the leadership issues of</w:t>
      </w:r>
      <w:r>
        <w:t xml:space="preserve"> </w:t>
      </w:r>
      <w:r w:rsidRPr="007414EE">
        <w:t>housing stock in Tauranga City:</w:t>
      </w:r>
    </w:p>
    <w:p w:rsidR="001D1E59" w:rsidRPr="00D17AD7" w:rsidRDefault="001D1E59" w:rsidP="00D17AD7">
      <w:pPr>
        <w:pStyle w:val="ListParagraph"/>
        <w:numPr>
          <w:ilvl w:val="0"/>
          <w:numId w:val="28"/>
        </w:numPr>
        <w:autoSpaceDE w:val="0"/>
        <w:autoSpaceDN w:val="0"/>
        <w:adjustRightInd w:val="0"/>
        <w:spacing w:line="360" w:lineRule="auto"/>
        <w:ind w:left="1134"/>
        <w:rPr>
          <w:sz w:val="22"/>
          <w:szCs w:val="22"/>
        </w:rPr>
      </w:pPr>
      <w:r w:rsidRPr="00D17AD7">
        <w:rPr>
          <w:sz w:val="22"/>
          <w:szCs w:val="22"/>
        </w:rPr>
        <w:t>“Strong leadership is the only way to get traction otherwise there are always plenty of reasons not to do it and the status quo with all its problems remains the way things</w:t>
      </w:r>
      <w:r w:rsidR="00D17AD7" w:rsidRPr="00D17AD7">
        <w:rPr>
          <w:sz w:val="22"/>
          <w:szCs w:val="22"/>
        </w:rPr>
        <w:t xml:space="preserve"> </w:t>
      </w:r>
      <w:r w:rsidRPr="00D17AD7">
        <w:rPr>
          <w:sz w:val="22"/>
          <w:szCs w:val="22"/>
        </w:rPr>
        <w:t>are done with long term costs to be borne by future generations.”</w:t>
      </w:r>
    </w:p>
    <w:p w:rsidR="001D1E59" w:rsidRPr="0083339C" w:rsidRDefault="001D1E59" w:rsidP="0083339C">
      <w:pPr>
        <w:pStyle w:val="ListParagraph"/>
        <w:numPr>
          <w:ilvl w:val="0"/>
          <w:numId w:val="28"/>
        </w:numPr>
        <w:autoSpaceDE w:val="0"/>
        <w:autoSpaceDN w:val="0"/>
        <w:adjustRightInd w:val="0"/>
        <w:spacing w:line="360" w:lineRule="auto"/>
        <w:ind w:left="1134"/>
        <w:rPr>
          <w:sz w:val="22"/>
          <w:szCs w:val="22"/>
        </w:rPr>
      </w:pPr>
      <w:r w:rsidRPr="00D17AD7">
        <w:rPr>
          <w:sz w:val="22"/>
          <w:szCs w:val="22"/>
        </w:rPr>
        <w:t>“The risk for Council is issues like affordability go unresolved unless policy</w:t>
      </w:r>
      <w:r w:rsidR="00D17AD7" w:rsidRPr="00D17AD7">
        <w:rPr>
          <w:sz w:val="22"/>
          <w:szCs w:val="22"/>
        </w:rPr>
        <w:t xml:space="preserve"> </w:t>
      </w:r>
      <w:r w:rsidRPr="00D17AD7">
        <w:rPr>
          <w:sz w:val="22"/>
          <w:szCs w:val="22"/>
        </w:rPr>
        <w:t>encourages dev</w:t>
      </w:r>
      <w:r w:rsidR="0083339C">
        <w:rPr>
          <w:sz w:val="22"/>
          <w:szCs w:val="22"/>
        </w:rPr>
        <w:t>elopers to share a wider view</w:t>
      </w:r>
      <w:r w:rsidRPr="0083339C">
        <w:rPr>
          <w:sz w:val="22"/>
          <w:szCs w:val="22"/>
        </w:rPr>
        <w:t>.”</w:t>
      </w:r>
      <w:r w:rsidRPr="00D17AD7">
        <w:rPr>
          <w:rStyle w:val="FootnoteReference"/>
          <w:sz w:val="22"/>
          <w:szCs w:val="22"/>
        </w:rPr>
        <w:footnoteReference w:id="1"/>
      </w:r>
    </w:p>
    <w:p w:rsidR="001D1E59" w:rsidRPr="007414EE" w:rsidRDefault="001D1E59" w:rsidP="007414EE">
      <w:pPr>
        <w:autoSpaceDE w:val="0"/>
        <w:autoSpaceDN w:val="0"/>
        <w:adjustRightInd w:val="0"/>
        <w:spacing w:line="360" w:lineRule="auto"/>
        <w:ind w:left="720"/>
      </w:pPr>
    </w:p>
    <w:p w:rsidR="001D1E59" w:rsidRDefault="001D1E59" w:rsidP="0092403E">
      <w:pPr>
        <w:autoSpaceDE w:val="0"/>
        <w:autoSpaceDN w:val="0"/>
        <w:adjustRightInd w:val="0"/>
        <w:spacing w:line="360" w:lineRule="auto"/>
        <w:ind w:left="720"/>
      </w:pPr>
      <w:r>
        <w:t>Anecdotally, common messages that emerge from local discussion on housing tend to emphasise;</w:t>
      </w:r>
    </w:p>
    <w:p w:rsidR="001D1E59" w:rsidRDefault="001D1E59" w:rsidP="00D17AD7">
      <w:pPr>
        <w:numPr>
          <w:ilvl w:val="0"/>
          <w:numId w:val="11"/>
        </w:numPr>
        <w:autoSpaceDE w:val="0"/>
        <w:autoSpaceDN w:val="0"/>
        <w:adjustRightInd w:val="0"/>
        <w:spacing w:line="360" w:lineRule="auto"/>
      </w:pPr>
      <w:r>
        <w:t>A</w:t>
      </w:r>
      <w:r w:rsidRPr="002F6799">
        <w:t xml:space="preserve"> lack of appropriate rental housing, particularly </w:t>
      </w:r>
      <w:r>
        <w:t>at the lower end of the market;</w:t>
      </w:r>
    </w:p>
    <w:p w:rsidR="001D1E59" w:rsidRDefault="001D1E59" w:rsidP="00D17AD7">
      <w:pPr>
        <w:numPr>
          <w:ilvl w:val="0"/>
          <w:numId w:val="11"/>
        </w:numPr>
        <w:autoSpaceDE w:val="0"/>
        <w:autoSpaceDN w:val="0"/>
        <w:adjustRightInd w:val="0"/>
        <w:spacing w:line="360" w:lineRule="auto"/>
      </w:pPr>
      <w:r>
        <w:t>A g</w:t>
      </w:r>
      <w:r w:rsidRPr="002F6799">
        <w:t>eneral shortage of socia</w:t>
      </w:r>
      <w:r>
        <w:t>l housing in the Tauranga area;</w:t>
      </w:r>
    </w:p>
    <w:p w:rsidR="001D1E59" w:rsidRDefault="001D1E59" w:rsidP="00D17AD7">
      <w:pPr>
        <w:numPr>
          <w:ilvl w:val="0"/>
          <w:numId w:val="11"/>
        </w:numPr>
        <w:autoSpaceDE w:val="0"/>
        <w:autoSpaceDN w:val="0"/>
        <w:adjustRightInd w:val="0"/>
        <w:spacing w:line="360" w:lineRule="auto"/>
      </w:pPr>
      <w:r>
        <w:t>T</w:t>
      </w:r>
      <w:r w:rsidRPr="002F6799">
        <w:t xml:space="preserve">auranga is </w:t>
      </w:r>
      <w:r>
        <w:t xml:space="preserve">one of </w:t>
      </w:r>
      <w:r w:rsidRPr="002F6799">
        <w:t>the least affordable area</w:t>
      </w:r>
      <w:r w:rsidR="0083339C">
        <w:t>s</w:t>
      </w:r>
      <w:r w:rsidRPr="002F6799">
        <w:t xml:space="preserve"> for buying a property in New Zealand, with t</w:t>
      </w:r>
      <w:r>
        <w:t>he average house price being 5.9</w:t>
      </w:r>
      <w:r w:rsidRPr="002F6799">
        <w:t xml:space="preserve"> times higher than t</w:t>
      </w:r>
      <w:r>
        <w:t>he household's annual income. (Demographia 2012).</w:t>
      </w:r>
    </w:p>
    <w:p w:rsidR="001D1E59" w:rsidRPr="002F6799" w:rsidRDefault="001D1E59" w:rsidP="00D17AD7">
      <w:pPr>
        <w:numPr>
          <w:ilvl w:val="0"/>
          <w:numId w:val="11"/>
        </w:numPr>
        <w:autoSpaceDE w:val="0"/>
        <w:autoSpaceDN w:val="0"/>
        <w:adjustRightInd w:val="0"/>
        <w:spacing w:line="360" w:lineRule="auto"/>
      </w:pPr>
      <w:r>
        <w:t>There are expectations regarding house size and quality that may not align with affordability.</w:t>
      </w:r>
    </w:p>
    <w:p w:rsidR="001D1E59" w:rsidRPr="008A7127" w:rsidRDefault="001D1E59" w:rsidP="008A7127">
      <w:pPr>
        <w:pStyle w:val="ListParagraph"/>
        <w:autoSpaceDE w:val="0"/>
        <w:autoSpaceDN w:val="0"/>
        <w:adjustRightInd w:val="0"/>
        <w:spacing w:line="360" w:lineRule="auto"/>
        <w:jc w:val="left"/>
        <w:rPr>
          <w:rFonts w:cs="Arial"/>
          <w:sz w:val="22"/>
          <w:szCs w:val="22"/>
        </w:rPr>
      </w:pPr>
      <w:r>
        <w:rPr>
          <w:rFonts w:cs="Arial"/>
          <w:sz w:val="22"/>
          <w:szCs w:val="22"/>
        </w:rPr>
        <w:t xml:space="preserve">The following research </w:t>
      </w:r>
      <w:r w:rsidRPr="008A7127">
        <w:rPr>
          <w:rFonts w:cs="Arial"/>
          <w:sz w:val="22"/>
          <w:szCs w:val="22"/>
        </w:rPr>
        <w:t>illustrate</w:t>
      </w:r>
      <w:r>
        <w:rPr>
          <w:rFonts w:cs="Arial"/>
          <w:sz w:val="22"/>
          <w:szCs w:val="22"/>
        </w:rPr>
        <w:t>s</w:t>
      </w:r>
      <w:r w:rsidRPr="008A7127">
        <w:rPr>
          <w:rFonts w:cs="Arial"/>
          <w:sz w:val="22"/>
          <w:szCs w:val="22"/>
        </w:rPr>
        <w:t xml:space="preserve"> </w:t>
      </w:r>
      <w:r w:rsidRPr="008A7127">
        <w:rPr>
          <w:sz w:val="22"/>
          <w:szCs w:val="22"/>
          <w:lang w:val="en-GB"/>
        </w:rPr>
        <w:t xml:space="preserve">the reality of the </w:t>
      </w:r>
      <w:r>
        <w:rPr>
          <w:sz w:val="22"/>
          <w:szCs w:val="22"/>
          <w:lang w:val="en-GB"/>
        </w:rPr>
        <w:t>situation</w:t>
      </w:r>
      <w:r w:rsidRPr="008A7127">
        <w:rPr>
          <w:sz w:val="22"/>
          <w:szCs w:val="22"/>
          <w:lang w:val="en-GB"/>
        </w:rPr>
        <w:t xml:space="preserve"> facing many local people.</w:t>
      </w:r>
    </w:p>
    <w:p w:rsidR="001D1E59" w:rsidRDefault="001D1E59" w:rsidP="00481499">
      <w:pPr>
        <w:spacing w:line="360" w:lineRule="auto"/>
        <w:ind w:left="720"/>
        <w:rPr>
          <w:lang w:val="en-GB"/>
        </w:rPr>
      </w:pPr>
    </w:p>
    <w:p w:rsidR="001D1E59" w:rsidRPr="0096695C" w:rsidRDefault="001D1E59" w:rsidP="00481499">
      <w:pPr>
        <w:spacing w:line="360" w:lineRule="auto"/>
        <w:ind w:left="720"/>
        <w:rPr>
          <w:b/>
          <w:lang w:val="en-GB"/>
        </w:rPr>
      </w:pPr>
      <w:r w:rsidRPr="0096695C">
        <w:rPr>
          <w:b/>
          <w:lang w:val="en-GB"/>
        </w:rPr>
        <w:t>Housing Stock and Housing Demand Report, Tauranga City (2009)</w:t>
      </w:r>
    </w:p>
    <w:p w:rsidR="001D1E59" w:rsidRDefault="001D1E59" w:rsidP="00481499">
      <w:pPr>
        <w:spacing w:line="360" w:lineRule="auto"/>
        <w:ind w:left="720"/>
        <w:rPr>
          <w:lang w:val="en-GB"/>
        </w:rPr>
      </w:pPr>
    </w:p>
    <w:p w:rsidR="001D1E59" w:rsidRDefault="001D1E59" w:rsidP="00481499">
      <w:pPr>
        <w:spacing w:line="360" w:lineRule="auto"/>
        <w:ind w:left="720"/>
        <w:rPr>
          <w:lang w:val="en-GB"/>
        </w:rPr>
      </w:pPr>
      <w:r>
        <w:rPr>
          <w:lang w:val="en-GB"/>
        </w:rPr>
        <w:t>This report was prepared by Tauranga City Council staff to enable elected members to consider policy options related to housing. The report noted that Council policy needs to consider the wider housing market, based on an understanding of the demographic and economic forces that shape housing demand within the city. Developers tend to focus on the short term profitability and related market segment. A wider policy view means more of a leadership role for Council.</w:t>
      </w:r>
    </w:p>
    <w:p w:rsidR="001D1E59" w:rsidRDefault="001D1E59" w:rsidP="00481499">
      <w:pPr>
        <w:spacing w:line="360" w:lineRule="auto"/>
        <w:ind w:left="720"/>
        <w:rPr>
          <w:lang w:val="en-GB"/>
        </w:rPr>
      </w:pPr>
    </w:p>
    <w:p w:rsidR="001D1E59" w:rsidRDefault="001D1E59" w:rsidP="00481499">
      <w:pPr>
        <w:spacing w:line="360" w:lineRule="auto"/>
        <w:ind w:left="720"/>
        <w:rPr>
          <w:lang w:val="en-GB"/>
        </w:rPr>
      </w:pPr>
      <w:r>
        <w:rPr>
          <w:lang w:val="en-GB"/>
        </w:rPr>
        <w:t>The report applied the 30 -35 % of total gross household income measure of affordability to 2006 census household income information. It noted:</w:t>
      </w:r>
    </w:p>
    <w:p w:rsidR="001D1E59" w:rsidRPr="0083339C" w:rsidRDefault="001D1E59" w:rsidP="0083339C">
      <w:pPr>
        <w:numPr>
          <w:ilvl w:val="0"/>
          <w:numId w:val="11"/>
        </w:numPr>
        <w:autoSpaceDE w:val="0"/>
        <w:autoSpaceDN w:val="0"/>
        <w:adjustRightInd w:val="0"/>
        <w:spacing w:line="360" w:lineRule="auto"/>
      </w:pPr>
      <w:r w:rsidRPr="0083339C">
        <w:t>64% of households in Tauranga have a household income of $70,000 or less.</w:t>
      </w:r>
    </w:p>
    <w:p w:rsidR="001D1E59" w:rsidRPr="0083339C" w:rsidRDefault="001D1E59" w:rsidP="0083339C">
      <w:pPr>
        <w:numPr>
          <w:ilvl w:val="0"/>
          <w:numId w:val="11"/>
        </w:numPr>
        <w:autoSpaceDE w:val="0"/>
        <w:autoSpaceDN w:val="0"/>
        <w:adjustRightInd w:val="0"/>
        <w:spacing w:line="360" w:lineRule="auto"/>
      </w:pPr>
      <w:r w:rsidRPr="0083339C">
        <w:t>For example, a household unit with an annual gross income of $70,000 would need to spend $132,000 deposit and then have a monthly payment of $1,867 (32%) to buy a $400,000 home</w:t>
      </w:r>
    </w:p>
    <w:p w:rsidR="001D1E59" w:rsidRPr="0083339C" w:rsidRDefault="001D1E59" w:rsidP="0083339C">
      <w:pPr>
        <w:numPr>
          <w:ilvl w:val="0"/>
          <w:numId w:val="11"/>
        </w:numPr>
        <w:autoSpaceDE w:val="0"/>
        <w:autoSpaceDN w:val="0"/>
        <w:adjustRightInd w:val="0"/>
        <w:spacing w:line="360" w:lineRule="auto"/>
      </w:pPr>
      <w:r w:rsidRPr="0083339C">
        <w:t>66% of the new housing stock constructed in the last five years is greater than $400,000 in value.</w:t>
      </w:r>
    </w:p>
    <w:p w:rsidR="001D1E59" w:rsidRPr="0083339C" w:rsidRDefault="001D1E59" w:rsidP="0083339C">
      <w:pPr>
        <w:numPr>
          <w:ilvl w:val="0"/>
          <w:numId w:val="11"/>
        </w:numPr>
        <w:autoSpaceDE w:val="0"/>
        <w:autoSpaceDN w:val="0"/>
        <w:adjustRightInd w:val="0"/>
        <w:spacing w:line="360" w:lineRule="auto"/>
      </w:pPr>
      <w:r w:rsidRPr="0083339C">
        <w:t>There is over 15 years supply (as at 2009) of Greenfield residential zoned with services delivered or planned, so land supply was not a constraining factor. Supply also needs to factor in the ability of councils to deliver financially sustainable infrastructure.</w:t>
      </w:r>
    </w:p>
    <w:p w:rsidR="001D1E59" w:rsidRDefault="001D1E59" w:rsidP="00481499">
      <w:pPr>
        <w:spacing w:line="360" w:lineRule="auto"/>
        <w:ind w:left="720"/>
        <w:rPr>
          <w:lang w:val="en-GB"/>
        </w:rPr>
      </w:pPr>
    </w:p>
    <w:p w:rsidR="001D1E59" w:rsidRDefault="001D1E59" w:rsidP="00481499">
      <w:pPr>
        <w:spacing w:line="360" w:lineRule="auto"/>
        <w:ind w:left="720"/>
        <w:rPr>
          <w:lang w:val="en-GB"/>
        </w:rPr>
      </w:pPr>
      <w:r>
        <w:rPr>
          <w:lang w:val="en-GB"/>
        </w:rPr>
        <w:t>The report identified several significant emerging issues with housing stock in Tauranga City:</w:t>
      </w:r>
    </w:p>
    <w:p w:rsidR="001D1E59" w:rsidRPr="0083339C" w:rsidRDefault="001D1E59" w:rsidP="0083339C">
      <w:pPr>
        <w:numPr>
          <w:ilvl w:val="0"/>
          <w:numId w:val="11"/>
        </w:numPr>
        <w:autoSpaceDE w:val="0"/>
        <w:autoSpaceDN w:val="0"/>
        <w:adjustRightInd w:val="0"/>
        <w:spacing w:line="360" w:lineRule="auto"/>
      </w:pPr>
      <w:r w:rsidRPr="0083339C">
        <w:t>Declining affordability due to declining housing stock in the less than $400,000 bracket.</w:t>
      </w:r>
    </w:p>
    <w:p w:rsidR="001D1E59" w:rsidRPr="0083339C" w:rsidRDefault="001D1E59" w:rsidP="0083339C">
      <w:pPr>
        <w:numPr>
          <w:ilvl w:val="0"/>
          <w:numId w:val="11"/>
        </w:numPr>
        <w:autoSpaceDE w:val="0"/>
        <w:autoSpaceDN w:val="0"/>
        <w:adjustRightInd w:val="0"/>
        <w:spacing w:line="360" w:lineRule="auto"/>
      </w:pPr>
      <w:r w:rsidRPr="0083339C">
        <w:t>A decrease in the proportion of housing stock in the less than $400,000 bracket will further negatively impact on the supply/ demand equation and push those remaining affordable house prices up.</w:t>
      </w:r>
    </w:p>
    <w:p w:rsidR="001D1E59" w:rsidRPr="0083339C" w:rsidRDefault="001D1E59" w:rsidP="0083339C">
      <w:pPr>
        <w:numPr>
          <w:ilvl w:val="0"/>
          <w:numId w:val="11"/>
        </w:numPr>
        <w:autoSpaceDE w:val="0"/>
        <w:autoSpaceDN w:val="0"/>
        <w:adjustRightInd w:val="0"/>
        <w:spacing w:line="360" w:lineRule="auto"/>
      </w:pPr>
      <w:r w:rsidRPr="0083339C">
        <w:t>New housing stock not being reflective of the changing demographic profile –particularly smaller sized house product.</w:t>
      </w:r>
    </w:p>
    <w:p w:rsidR="001D1E59" w:rsidRPr="0083339C" w:rsidRDefault="001D1E59" w:rsidP="0083339C">
      <w:pPr>
        <w:numPr>
          <w:ilvl w:val="0"/>
          <w:numId w:val="11"/>
        </w:numPr>
        <w:autoSpaceDE w:val="0"/>
        <w:autoSpaceDN w:val="0"/>
        <w:adjustRightInd w:val="0"/>
        <w:spacing w:line="360" w:lineRule="auto"/>
      </w:pPr>
      <w:r w:rsidRPr="0083339C">
        <w:t>Land values, housing supply and section size/ cost not reflective of the affordability of Tauranga households (the ability to pay)</w:t>
      </w:r>
    </w:p>
    <w:p w:rsidR="001D1E59" w:rsidRPr="0083339C" w:rsidRDefault="001D1E59" w:rsidP="0083339C">
      <w:pPr>
        <w:numPr>
          <w:ilvl w:val="0"/>
          <w:numId w:val="11"/>
        </w:numPr>
        <w:autoSpaceDE w:val="0"/>
        <w:autoSpaceDN w:val="0"/>
        <w:adjustRightInd w:val="0"/>
        <w:spacing w:line="360" w:lineRule="auto"/>
      </w:pPr>
      <w:r w:rsidRPr="0083339C">
        <w:t>A developer-led view of market need for larger sections, larger houses, restrictive private covenants and public planning provisions work against delivery of smaller section sizes and smaller product.</w:t>
      </w:r>
    </w:p>
    <w:p w:rsidR="001D1E59" w:rsidRDefault="001D1E59" w:rsidP="00481499">
      <w:pPr>
        <w:spacing w:line="360" w:lineRule="auto"/>
        <w:ind w:left="1080"/>
        <w:rPr>
          <w:lang w:val="en-GB"/>
        </w:rPr>
      </w:pPr>
    </w:p>
    <w:p w:rsidR="001D1E59" w:rsidRDefault="001D1E59" w:rsidP="00481499">
      <w:pPr>
        <w:spacing w:line="360" w:lineRule="auto"/>
        <w:ind w:left="720"/>
        <w:rPr>
          <w:lang w:val="en-GB"/>
        </w:rPr>
      </w:pPr>
      <w:r>
        <w:rPr>
          <w:lang w:val="en-GB"/>
        </w:rPr>
        <w:t>The Housing Stock and Housing Demand Report discussed two broad options for Council to respond to such issues:</w:t>
      </w:r>
    </w:p>
    <w:p w:rsidR="001D1E59" w:rsidRPr="007F30C9" w:rsidRDefault="001D1E59" w:rsidP="007F30C9">
      <w:pPr>
        <w:numPr>
          <w:ilvl w:val="0"/>
          <w:numId w:val="11"/>
        </w:numPr>
        <w:autoSpaceDE w:val="0"/>
        <w:autoSpaceDN w:val="0"/>
        <w:adjustRightInd w:val="0"/>
        <w:spacing w:line="360" w:lineRule="auto"/>
        <w:rPr>
          <w:u w:val="single"/>
        </w:rPr>
      </w:pPr>
      <w:r w:rsidRPr="007F30C9">
        <w:rPr>
          <w:u w:val="single"/>
        </w:rPr>
        <w:t>Option 1:Take a leadership role: actions such as education, facilitation, review regulation, financial incentives, product advocacy</w:t>
      </w:r>
    </w:p>
    <w:p w:rsidR="001D1E59" w:rsidRPr="007F30C9" w:rsidRDefault="001D1E59" w:rsidP="007F30C9">
      <w:pPr>
        <w:numPr>
          <w:ilvl w:val="0"/>
          <w:numId w:val="11"/>
        </w:numPr>
        <w:autoSpaceDE w:val="0"/>
        <w:autoSpaceDN w:val="0"/>
        <w:adjustRightInd w:val="0"/>
        <w:spacing w:line="360" w:lineRule="auto"/>
        <w:rPr>
          <w:u w:val="single"/>
        </w:rPr>
      </w:pPr>
      <w:r w:rsidRPr="007F30C9">
        <w:rPr>
          <w:u w:val="single"/>
        </w:rPr>
        <w:t>Option 2: Leave the issues for the market to work through: this approach is likely to continue the deteriorating affordability of housing in this community</w:t>
      </w:r>
    </w:p>
    <w:p w:rsidR="001D1E59" w:rsidRDefault="001D1E59" w:rsidP="00481499">
      <w:pPr>
        <w:spacing w:line="360" w:lineRule="auto"/>
        <w:rPr>
          <w:lang w:val="en-GB"/>
        </w:rPr>
      </w:pPr>
    </w:p>
    <w:p w:rsidR="001D1E59" w:rsidRDefault="001D1E59" w:rsidP="00481499">
      <w:pPr>
        <w:spacing w:line="360" w:lineRule="auto"/>
        <w:ind w:left="720"/>
        <w:rPr>
          <w:lang w:val="en-GB"/>
        </w:rPr>
      </w:pPr>
      <w:r>
        <w:rPr>
          <w:lang w:val="en-GB"/>
        </w:rPr>
        <w:t>The Council resolved to create an informal working group of elected members and staff to work with developers and their advisors on options to address housing stock issues. No further formal action was taken but it is noted that since that time the Housing Affordability Forum has emerged</w:t>
      </w:r>
      <w:r w:rsidR="007F30C9">
        <w:rPr>
          <w:lang w:val="en-GB"/>
        </w:rPr>
        <w:t xml:space="preserve"> in the role of raising</w:t>
      </w:r>
      <w:r>
        <w:rPr>
          <w:lang w:val="en-GB"/>
        </w:rPr>
        <w:t xml:space="preserve"> awareness and advocates for </w:t>
      </w:r>
      <w:r w:rsidR="00EB4737">
        <w:rPr>
          <w:lang w:val="en-GB"/>
        </w:rPr>
        <w:t>housing affordability</w:t>
      </w:r>
      <w:r>
        <w:rPr>
          <w:lang w:val="en-GB"/>
        </w:rPr>
        <w:t xml:space="preserve"> in the western Bay community.</w:t>
      </w:r>
    </w:p>
    <w:p w:rsidR="001D1E59" w:rsidRDefault="001D1E59" w:rsidP="00481499">
      <w:pPr>
        <w:spacing w:line="360" w:lineRule="auto"/>
        <w:ind w:left="720"/>
        <w:rPr>
          <w:lang w:val="en-GB"/>
        </w:rPr>
      </w:pPr>
    </w:p>
    <w:p w:rsidR="001D1E59" w:rsidRDefault="001D1E59" w:rsidP="00481499">
      <w:pPr>
        <w:spacing w:line="360" w:lineRule="auto"/>
        <w:ind w:left="720"/>
        <w:rPr>
          <w:lang w:val="en-GB"/>
        </w:rPr>
      </w:pPr>
      <w:r>
        <w:rPr>
          <w:lang w:val="en-GB"/>
        </w:rPr>
        <w:t>It is noted that Tauranga City staff are currently updating the Housing Stock and Housing Demand Report using the 2012 revaluations, similarly Western Bay of Plenty District Council will undertake a housing stock and demand report</w:t>
      </w:r>
      <w:r w:rsidR="007F30C9">
        <w:rPr>
          <w:lang w:val="en-GB"/>
        </w:rPr>
        <w:t xml:space="preserve"> based on 2011 valuations which</w:t>
      </w:r>
      <w:r>
        <w:rPr>
          <w:lang w:val="en-GB"/>
        </w:rPr>
        <w:t xml:space="preserve"> should be available soon.</w:t>
      </w:r>
    </w:p>
    <w:p w:rsidR="001D1E59" w:rsidRDefault="001D1E59" w:rsidP="00481499">
      <w:pPr>
        <w:spacing w:line="360" w:lineRule="auto"/>
        <w:ind w:left="720"/>
        <w:rPr>
          <w:lang w:val="en-GB"/>
        </w:rPr>
      </w:pPr>
    </w:p>
    <w:p w:rsidR="001D1E59" w:rsidRDefault="001D1E59" w:rsidP="00481499">
      <w:pPr>
        <w:spacing w:line="360" w:lineRule="auto"/>
        <w:ind w:left="720"/>
        <w:rPr>
          <w:lang w:val="en-GB"/>
        </w:rPr>
      </w:pPr>
      <w:r>
        <w:rPr>
          <w:lang w:val="en-GB"/>
        </w:rPr>
        <w:t>A similar report on housing stock and demand was undertaken by WBOPDC which concluded:</w:t>
      </w:r>
    </w:p>
    <w:p w:rsidR="001D1E59" w:rsidRPr="007414EE" w:rsidRDefault="001D1E59" w:rsidP="00D17AD7">
      <w:pPr>
        <w:numPr>
          <w:ilvl w:val="3"/>
          <w:numId w:val="24"/>
        </w:numPr>
        <w:spacing w:line="360" w:lineRule="auto"/>
        <w:ind w:left="1276" w:hanging="567"/>
      </w:pPr>
      <w:r w:rsidRPr="007414EE">
        <w:t>81% of housing stock built in the last five years is above the median house price of $340,000</w:t>
      </w:r>
    </w:p>
    <w:p w:rsidR="001D1E59" w:rsidRPr="007414EE" w:rsidRDefault="001D1E59" w:rsidP="00D17AD7">
      <w:pPr>
        <w:numPr>
          <w:ilvl w:val="3"/>
          <w:numId w:val="24"/>
        </w:numPr>
        <w:spacing w:line="360" w:lineRule="auto"/>
        <w:ind w:left="1276" w:hanging="567"/>
      </w:pPr>
      <w:r w:rsidRPr="007414EE">
        <w:t>Katikati and Te Puke have a higher number of houses under $340,000 than anywhere else in the District</w:t>
      </w:r>
    </w:p>
    <w:p w:rsidR="001D1E59" w:rsidRPr="007414EE" w:rsidRDefault="001D1E59" w:rsidP="00D17AD7">
      <w:pPr>
        <w:numPr>
          <w:ilvl w:val="3"/>
          <w:numId w:val="24"/>
        </w:numPr>
        <w:spacing w:line="360" w:lineRule="auto"/>
        <w:ind w:left="1276" w:hanging="567"/>
      </w:pPr>
      <w:r w:rsidRPr="007414EE">
        <w:t>Most houses sold in the last three years in Katikati and Te Puke were below $340,000 indicating a high demand for intermediate housing</w:t>
      </w:r>
    </w:p>
    <w:p w:rsidR="001D1E59" w:rsidRPr="007414EE" w:rsidRDefault="001D1E59" w:rsidP="00D17AD7">
      <w:pPr>
        <w:numPr>
          <w:ilvl w:val="0"/>
          <w:numId w:val="24"/>
        </w:numPr>
        <w:spacing w:line="360" w:lineRule="auto"/>
        <w:ind w:left="1210" w:hanging="550"/>
      </w:pPr>
      <w:r w:rsidRPr="007414EE">
        <w:t>59% of households have an income of $70,000 or less, (this includes people over 65 who often have a low income but significant assets)</w:t>
      </w:r>
    </w:p>
    <w:p w:rsidR="007F30C9" w:rsidRDefault="001D1E59" w:rsidP="007F30C9">
      <w:pPr>
        <w:numPr>
          <w:ilvl w:val="0"/>
          <w:numId w:val="24"/>
        </w:numPr>
        <w:spacing w:line="360" w:lineRule="auto"/>
        <w:ind w:left="1210" w:hanging="550"/>
      </w:pPr>
      <w:r w:rsidRPr="007414EE">
        <w:t>More than one-third of income spent on housing costs is regarded as housing stress which can impact negatively on families</w:t>
      </w:r>
    </w:p>
    <w:p w:rsidR="001D1E59" w:rsidRPr="007414EE" w:rsidRDefault="001D1E59" w:rsidP="007F30C9">
      <w:pPr>
        <w:numPr>
          <w:ilvl w:val="0"/>
          <w:numId w:val="24"/>
        </w:numPr>
        <w:spacing w:line="360" w:lineRule="auto"/>
        <w:ind w:left="1210" w:hanging="550"/>
      </w:pPr>
      <w:r w:rsidRPr="007414EE">
        <w:t>20% of Maori experience housing stress and many also experience inadequate housing conditions</w:t>
      </w:r>
    </w:p>
    <w:p w:rsidR="001D1E59" w:rsidRPr="007414EE" w:rsidRDefault="001D1E59" w:rsidP="00D17AD7">
      <w:pPr>
        <w:numPr>
          <w:ilvl w:val="0"/>
          <w:numId w:val="24"/>
        </w:numPr>
        <w:spacing w:line="360" w:lineRule="auto"/>
        <w:ind w:left="1210" w:hanging="550"/>
      </w:pPr>
      <w:r w:rsidRPr="007414EE">
        <w:t>Declining home ownership and increasing rental tenure among the Maori population.</w:t>
      </w:r>
    </w:p>
    <w:p w:rsidR="001D1E59" w:rsidRPr="007414EE" w:rsidRDefault="001D1E59" w:rsidP="00D17AD7">
      <w:pPr>
        <w:numPr>
          <w:ilvl w:val="0"/>
          <w:numId w:val="24"/>
        </w:numPr>
        <w:spacing w:line="360" w:lineRule="auto"/>
        <w:ind w:left="1210" w:hanging="550"/>
      </w:pPr>
      <w:r w:rsidRPr="007414EE">
        <w:t>Currently 50% of households are one or two person households, yet 10% of housing stock are one or two bedroom dwellings.</w:t>
      </w:r>
    </w:p>
    <w:p w:rsidR="001D1E59" w:rsidRDefault="001D1E59" w:rsidP="007414EE">
      <w:pPr>
        <w:spacing w:line="360" w:lineRule="auto"/>
        <w:ind w:left="720"/>
        <w:rPr>
          <w:b/>
        </w:rPr>
      </w:pPr>
    </w:p>
    <w:p w:rsidR="001D1E59" w:rsidRPr="007414EE" w:rsidRDefault="001D1E59" w:rsidP="007414EE">
      <w:pPr>
        <w:spacing w:line="360" w:lineRule="auto"/>
        <w:ind w:left="720"/>
      </w:pPr>
      <w:r>
        <w:t xml:space="preserve">The </w:t>
      </w:r>
      <w:r w:rsidRPr="007414EE">
        <w:t>Western Bay of Plenty</w:t>
      </w:r>
      <w:r w:rsidRPr="007414EE">
        <w:rPr>
          <w:b/>
        </w:rPr>
        <w:t xml:space="preserve"> </w:t>
      </w:r>
      <w:r w:rsidRPr="0047303A">
        <w:t>District</w:t>
      </w:r>
      <w:r>
        <w:rPr>
          <w:b/>
        </w:rPr>
        <w:t xml:space="preserve"> </w:t>
      </w:r>
      <w:r w:rsidRPr="007414EE">
        <w:t xml:space="preserve">trends in relation to affordability of housing are consistent with Tauranga. Unaffordability of housing is increasing with 80% of houses built in the last five years above median house price of $340,000.  </w:t>
      </w:r>
    </w:p>
    <w:p w:rsidR="001D1E59" w:rsidRPr="007414EE" w:rsidRDefault="001D1E59" w:rsidP="007414EE">
      <w:pPr>
        <w:spacing w:line="360" w:lineRule="auto"/>
        <w:ind w:left="720"/>
      </w:pPr>
    </w:p>
    <w:p w:rsidR="001D1E59" w:rsidRPr="007414EE" w:rsidRDefault="001D1E59" w:rsidP="007414EE">
      <w:pPr>
        <w:spacing w:line="360" w:lineRule="auto"/>
        <w:ind w:left="720"/>
      </w:pPr>
      <w:r w:rsidRPr="007414EE">
        <w:t>Affordable housing is available in Katikati and Te Puke, across the District 35% of the current housing stock is of a value less than $340,000.    Housing unaffordability is most evident in the Kaimai ward, followed by Waihi Beach.</w:t>
      </w:r>
    </w:p>
    <w:p w:rsidR="001D1E59" w:rsidRPr="007414EE" w:rsidRDefault="001D1E59" w:rsidP="007414EE">
      <w:pPr>
        <w:spacing w:line="360" w:lineRule="auto"/>
        <w:ind w:left="720"/>
      </w:pPr>
    </w:p>
    <w:p w:rsidR="001D1E59" w:rsidRPr="007414EE" w:rsidRDefault="001D1E59" w:rsidP="007414EE">
      <w:pPr>
        <w:spacing w:line="360" w:lineRule="auto"/>
        <w:ind w:left="720"/>
      </w:pPr>
      <w:r w:rsidRPr="007414EE">
        <w:t xml:space="preserve">There are very few one to two bedroom dwellings, yet approximately half of households in the district comprise of one to two people.  </w:t>
      </w:r>
    </w:p>
    <w:p w:rsidR="001D1E59" w:rsidRPr="007414EE" w:rsidRDefault="001D1E59" w:rsidP="007414EE">
      <w:pPr>
        <w:spacing w:line="360" w:lineRule="auto"/>
        <w:ind w:left="720"/>
      </w:pPr>
    </w:p>
    <w:p w:rsidR="001D1E59" w:rsidRPr="007414EE" w:rsidRDefault="001D1E59" w:rsidP="007414EE">
      <w:pPr>
        <w:spacing w:line="360" w:lineRule="auto"/>
        <w:ind w:left="720"/>
      </w:pPr>
      <w:r w:rsidRPr="007414EE">
        <w:t>The local Maori population are more likely to experience unaffordability of housing.</w:t>
      </w:r>
    </w:p>
    <w:p w:rsidR="001D1E59" w:rsidRDefault="001D1E59" w:rsidP="007414EE">
      <w:pPr>
        <w:spacing w:line="360" w:lineRule="auto"/>
        <w:ind w:left="720"/>
      </w:pPr>
    </w:p>
    <w:p w:rsidR="001D1E59" w:rsidRPr="002F6799" w:rsidRDefault="001D1E59" w:rsidP="00255050">
      <w:pPr>
        <w:pStyle w:val="Heading2"/>
        <w:numPr>
          <w:ilvl w:val="0"/>
          <w:numId w:val="0"/>
        </w:numPr>
        <w:ind w:left="720"/>
        <w:rPr>
          <w:rFonts w:ascii="Arial" w:hAnsi="Arial"/>
        </w:rPr>
      </w:pPr>
      <w:bookmarkStart w:id="8" w:name="_Toc338427776"/>
      <w:r w:rsidRPr="002F6799">
        <w:rPr>
          <w:rFonts w:ascii="Arial" w:hAnsi="Arial"/>
        </w:rPr>
        <w:t>8</w:t>
      </w:r>
      <w:r w:rsidRPr="002F6799">
        <w:rPr>
          <w:rFonts w:ascii="Arial" w:hAnsi="Arial"/>
          <w:vertAlign w:val="superscript"/>
        </w:rPr>
        <w:t>th</w:t>
      </w:r>
      <w:r w:rsidRPr="002F6799">
        <w:rPr>
          <w:rFonts w:ascii="Arial" w:hAnsi="Arial"/>
        </w:rPr>
        <w:t xml:space="preserve"> Annual Demographia International Housing Affordability Survey (2012)</w:t>
      </w:r>
      <w:bookmarkEnd w:id="8"/>
    </w:p>
    <w:p w:rsidR="001D1E59" w:rsidRPr="002F6799" w:rsidRDefault="001D1E59" w:rsidP="00255050">
      <w:pPr>
        <w:autoSpaceDE w:val="0"/>
        <w:autoSpaceDN w:val="0"/>
        <w:adjustRightInd w:val="0"/>
        <w:spacing w:line="360" w:lineRule="auto"/>
        <w:ind w:left="720"/>
      </w:pPr>
    </w:p>
    <w:p w:rsidR="001D1E59" w:rsidRDefault="001D1E59" w:rsidP="00255050">
      <w:pPr>
        <w:autoSpaceDE w:val="0"/>
        <w:autoSpaceDN w:val="0"/>
        <w:adjustRightInd w:val="0"/>
        <w:spacing w:line="360" w:lineRule="auto"/>
        <w:ind w:left="720"/>
      </w:pPr>
      <w:r w:rsidRPr="002F6799">
        <w:t>This report is completed annually and provides comparative data for the median price and medium household income for some 325 metropolitan markets internationally.  At present there are 8 New Zealand cities including Taurang</w:t>
      </w:r>
      <w:r>
        <w:t>a-Western Bay of Plenty</w:t>
      </w:r>
      <w:r w:rsidRPr="002F6799">
        <w:t xml:space="preserve"> in the project</w:t>
      </w:r>
      <w:r>
        <w:t xml:space="preserve">. </w:t>
      </w:r>
      <w:r w:rsidRPr="002F6799">
        <w:t>The ranking starts from one (1) as the most a</w:t>
      </w:r>
      <w:r>
        <w:t>ffordable and descends.</w:t>
      </w:r>
      <w:r w:rsidRPr="002F6799">
        <w:t xml:space="preserve"> The rating is based on </w:t>
      </w:r>
      <w:r>
        <w:t xml:space="preserve">the ratio of median house prices to median household incomes. </w:t>
      </w:r>
      <w:r w:rsidRPr="002F6799">
        <w:t>A rating of between 3.0 &amp; under is</w:t>
      </w:r>
      <w:r>
        <w:t xml:space="preserve"> considered to be</w:t>
      </w:r>
      <w:r w:rsidRPr="002F6799">
        <w:t xml:space="preserve"> affordable, moderately unaffordable 3.1 to 4.0, seriously unaffordable 4.1 to 5.0 and se</w:t>
      </w:r>
      <w:r>
        <w:t>verely unaffordable 5.1 &amp; over.</w:t>
      </w:r>
    </w:p>
    <w:p w:rsidR="001D1E59" w:rsidRDefault="001D1E59" w:rsidP="00255050">
      <w:pPr>
        <w:autoSpaceDE w:val="0"/>
        <w:autoSpaceDN w:val="0"/>
        <w:adjustRightInd w:val="0"/>
        <w:spacing w:line="360" w:lineRule="auto"/>
        <w:ind w:left="720"/>
      </w:pPr>
    </w:p>
    <w:p w:rsidR="001D1E59" w:rsidRPr="002F6799" w:rsidRDefault="001D1E59" w:rsidP="00255050">
      <w:pPr>
        <w:autoSpaceDE w:val="0"/>
        <w:autoSpaceDN w:val="0"/>
        <w:adjustRightInd w:val="0"/>
        <w:spacing w:line="360" w:lineRule="auto"/>
        <w:ind w:left="720"/>
      </w:pPr>
      <w:r w:rsidRPr="002F6799">
        <w:t>For the last quarter in 2011, Tauranga-Western Bay of Plenty is currently ranked 290 with a rating of 5.9.</w:t>
      </w:r>
      <w:r>
        <w:t xml:space="preserve"> (i.e. severely unaffordable).</w:t>
      </w:r>
      <w:r w:rsidRPr="002F6799">
        <w:t xml:space="preserve">  </w:t>
      </w:r>
    </w:p>
    <w:p w:rsidR="001D1E59" w:rsidRPr="00B111D4" w:rsidRDefault="001D1E59" w:rsidP="00BC46AA">
      <w:pPr>
        <w:rPr>
          <w:b/>
          <w:lang w:val="en-GB"/>
        </w:rPr>
      </w:pPr>
    </w:p>
    <w:p w:rsidR="001D1E59" w:rsidRPr="002F6799" w:rsidRDefault="001D1E59" w:rsidP="00975F5B">
      <w:pPr>
        <w:pStyle w:val="Heading2"/>
        <w:numPr>
          <w:ilvl w:val="0"/>
          <w:numId w:val="0"/>
        </w:numPr>
        <w:spacing w:line="360" w:lineRule="auto"/>
        <w:ind w:left="720"/>
        <w:rPr>
          <w:rFonts w:ascii="Arial" w:hAnsi="Arial"/>
        </w:rPr>
      </w:pPr>
      <w:r w:rsidRPr="002F6799">
        <w:rPr>
          <w:rFonts w:ascii="Arial" w:hAnsi="Arial"/>
        </w:rPr>
        <w:t>Assessment of Development for the Wairakei Urban Growth Area</w:t>
      </w:r>
    </w:p>
    <w:p w:rsidR="001D1E59" w:rsidRPr="002F6799" w:rsidRDefault="001D1E59" w:rsidP="00975F5B">
      <w:pPr>
        <w:pStyle w:val="BodyText"/>
        <w:spacing w:line="360" w:lineRule="auto"/>
        <w:rPr>
          <w:lang w:val="en-NZ"/>
        </w:rPr>
      </w:pPr>
      <w:r w:rsidRPr="002F6799">
        <w:rPr>
          <w:lang w:val="en-NZ"/>
        </w:rPr>
        <w:t>This report provided an in depth assessment of residential and industrial development feasibility in Wairakei, Tauranga with particular emphasis on the impact of development contributions and land prices on development feasibility.</w:t>
      </w:r>
    </w:p>
    <w:p w:rsidR="001D1E59" w:rsidRPr="002F6799" w:rsidRDefault="001D1E59" w:rsidP="00975F5B">
      <w:pPr>
        <w:pStyle w:val="BodyText"/>
        <w:spacing w:line="360" w:lineRule="auto"/>
        <w:rPr>
          <w:lang w:val="en-NZ"/>
        </w:rPr>
      </w:pPr>
      <w:r w:rsidRPr="002F6799">
        <w:rPr>
          <w:lang w:val="en-NZ"/>
        </w:rPr>
        <w:t xml:space="preserve">The report concluded that there are significant development feasibility issues in Wairakei for both residential and industrial development and that these issues would likely to exist in other new </w:t>
      </w:r>
      <w:r>
        <w:rPr>
          <w:lang w:val="en-NZ"/>
        </w:rPr>
        <w:t xml:space="preserve">urban growth </w:t>
      </w:r>
      <w:r w:rsidRPr="002F6799">
        <w:rPr>
          <w:lang w:val="en-NZ"/>
        </w:rPr>
        <w:t xml:space="preserve">areas that Council might wish to open up for development.  </w:t>
      </w:r>
    </w:p>
    <w:p w:rsidR="001D1E59" w:rsidRPr="002F6799" w:rsidRDefault="001D1E59" w:rsidP="00975F5B">
      <w:pPr>
        <w:pStyle w:val="BodyText"/>
        <w:spacing w:line="360" w:lineRule="auto"/>
        <w:rPr>
          <w:lang w:val="en-NZ"/>
        </w:rPr>
      </w:pPr>
      <w:r>
        <w:rPr>
          <w:lang w:val="en-NZ"/>
        </w:rPr>
        <w:t>In terms of housing t</w:t>
      </w:r>
      <w:r w:rsidRPr="002F6799">
        <w:rPr>
          <w:lang w:val="en-NZ"/>
        </w:rPr>
        <w:t>he report concluded that very little affordable owner-occupied or rental housing will be developed for low to midd</w:t>
      </w:r>
      <w:r>
        <w:rPr>
          <w:lang w:val="en-NZ"/>
        </w:rPr>
        <w:t xml:space="preserve">le income households because </w:t>
      </w:r>
      <w:r w:rsidRPr="002F6799">
        <w:rPr>
          <w:lang w:val="en-NZ"/>
        </w:rPr>
        <w:t>the cost structure of land development and house construction does not permit this to occur.</w:t>
      </w:r>
      <w:r w:rsidRPr="002F6799">
        <w:rPr>
          <w:rStyle w:val="FootnoteReference"/>
          <w:rFonts w:cs="Arial"/>
          <w:lang w:val="en-NZ"/>
        </w:rPr>
        <w:footnoteReference w:id="2"/>
      </w:r>
      <w:r w:rsidRPr="002F6799">
        <w:rPr>
          <w:lang w:val="en-NZ"/>
        </w:rPr>
        <w:t xml:space="preserve">  </w:t>
      </w:r>
    </w:p>
    <w:p w:rsidR="0039580F" w:rsidRDefault="001D1E59" w:rsidP="00975F5B">
      <w:pPr>
        <w:pStyle w:val="BodyText"/>
        <w:spacing w:line="360" w:lineRule="auto"/>
        <w:rPr>
          <w:lang w:val="en-NZ"/>
        </w:rPr>
      </w:pPr>
      <w:r>
        <w:rPr>
          <w:lang w:val="en-NZ"/>
        </w:rPr>
        <w:t xml:space="preserve">To illustrate this point </w:t>
      </w:r>
      <w:r w:rsidRPr="002F6799">
        <w:rPr>
          <w:lang w:val="en-NZ"/>
        </w:rPr>
        <w:t>the report provides a number of useful tables such as table 7, Likely distribution of house prices in Wairakei.</w:t>
      </w:r>
      <w:r w:rsidRPr="002F6799">
        <w:rPr>
          <w:rStyle w:val="FootnoteReference"/>
          <w:rFonts w:cs="Arial"/>
          <w:lang w:val="en-NZ"/>
        </w:rPr>
        <w:footnoteReference w:id="3"/>
      </w:r>
      <w:r>
        <w:rPr>
          <w:lang w:val="en-NZ"/>
        </w:rPr>
        <w:t xml:space="preserve"> Table 7 is as follows:</w:t>
      </w:r>
    </w:p>
    <w:p w:rsidR="0039580F" w:rsidRDefault="0039580F">
      <w:r>
        <w:br w:type="page"/>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60"/>
        <w:gridCol w:w="4062"/>
      </w:tblGrid>
      <w:tr w:rsidR="001D1E59" w:rsidRPr="002F6799" w:rsidTr="00AF4568">
        <w:tc>
          <w:tcPr>
            <w:tcW w:w="4160" w:type="dxa"/>
          </w:tcPr>
          <w:p w:rsidR="001D1E59" w:rsidRPr="002F6799" w:rsidRDefault="001D1E59" w:rsidP="00AF4568">
            <w:pPr>
              <w:pStyle w:val="BodyText"/>
              <w:ind w:left="0"/>
              <w:jc w:val="center"/>
              <w:rPr>
                <w:b/>
                <w:lang w:val="en-NZ"/>
              </w:rPr>
            </w:pPr>
            <w:r w:rsidRPr="002F6799">
              <w:rPr>
                <w:b/>
                <w:lang w:val="en-NZ"/>
              </w:rPr>
              <w:t>Price range</w:t>
            </w:r>
          </w:p>
        </w:tc>
        <w:tc>
          <w:tcPr>
            <w:tcW w:w="4062" w:type="dxa"/>
          </w:tcPr>
          <w:p w:rsidR="001D1E59" w:rsidRPr="002F6799" w:rsidRDefault="001D1E59" w:rsidP="00AF4568">
            <w:pPr>
              <w:pStyle w:val="BodyText"/>
              <w:ind w:left="0"/>
              <w:jc w:val="center"/>
              <w:rPr>
                <w:b/>
                <w:lang w:val="en-NZ"/>
              </w:rPr>
            </w:pPr>
            <w:r w:rsidRPr="002F6799">
              <w:rPr>
                <w:b/>
                <w:lang w:val="en-NZ"/>
              </w:rPr>
              <w:t>Proportion of houses</w:t>
            </w:r>
          </w:p>
        </w:tc>
      </w:tr>
      <w:tr w:rsidR="001D1E59" w:rsidRPr="002F6799" w:rsidTr="00AF4568">
        <w:tc>
          <w:tcPr>
            <w:tcW w:w="4160" w:type="dxa"/>
          </w:tcPr>
          <w:p w:rsidR="001D1E59" w:rsidRPr="002F6799" w:rsidRDefault="001D1E59" w:rsidP="00AF4568">
            <w:pPr>
              <w:pStyle w:val="BodyText"/>
              <w:ind w:left="0"/>
              <w:jc w:val="center"/>
              <w:rPr>
                <w:lang w:val="en-NZ"/>
              </w:rPr>
            </w:pPr>
            <w:r w:rsidRPr="002F6799">
              <w:rPr>
                <w:lang w:val="en-NZ"/>
              </w:rPr>
              <w:t>&lt;300,000</w:t>
            </w:r>
          </w:p>
        </w:tc>
        <w:tc>
          <w:tcPr>
            <w:tcW w:w="4062" w:type="dxa"/>
          </w:tcPr>
          <w:p w:rsidR="001D1E59" w:rsidRPr="002F6799" w:rsidRDefault="001D1E59" w:rsidP="00AF4568">
            <w:pPr>
              <w:pStyle w:val="BodyText"/>
              <w:ind w:left="0"/>
              <w:jc w:val="center"/>
              <w:rPr>
                <w:lang w:val="en-NZ"/>
              </w:rPr>
            </w:pPr>
            <w:r w:rsidRPr="002F6799">
              <w:rPr>
                <w:lang w:val="en-NZ"/>
              </w:rPr>
              <w:t>0%</w:t>
            </w:r>
          </w:p>
        </w:tc>
      </w:tr>
      <w:tr w:rsidR="001D1E59" w:rsidRPr="002F6799" w:rsidTr="00AF4568">
        <w:tc>
          <w:tcPr>
            <w:tcW w:w="4160" w:type="dxa"/>
          </w:tcPr>
          <w:p w:rsidR="001D1E59" w:rsidRPr="002F6799" w:rsidRDefault="001D1E59" w:rsidP="00AF4568">
            <w:pPr>
              <w:pStyle w:val="BodyText"/>
              <w:ind w:left="0"/>
              <w:jc w:val="center"/>
              <w:rPr>
                <w:lang w:val="en-NZ"/>
              </w:rPr>
            </w:pPr>
            <w:r w:rsidRPr="002F6799">
              <w:rPr>
                <w:lang w:val="en-NZ"/>
              </w:rPr>
              <w:t>$300,000-350,000</w:t>
            </w:r>
          </w:p>
        </w:tc>
        <w:tc>
          <w:tcPr>
            <w:tcW w:w="4062" w:type="dxa"/>
          </w:tcPr>
          <w:p w:rsidR="001D1E59" w:rsidRPr="002F6799" w:rsidRDefault="001D1E59" w:rsidP="00AF4568">
            <w:pPr>
              <w:pStyle w:val="BodyText"/>
              <w:ind w:left="0"/>
              <w:jc w:val="center"/>
              <w:rPr>
                <w:lang w:val="en-NZ"/>
              </w:rPr>
            </w:pPr>
            <w:r w:rsidRPr="002F6799">
              <w:rPr>
                <w:lang w:val="en-NZ"/>
              </w:rPr>
              <w:t>4%</w:t>
            </w:r>
          </w:p>
        </w:tc>
      </w:tr>
      <w:tr w:rsidR="001D1E59" w:rsidRPr="002F6799" w:rsidTr="00AF4568">
        <w:tc>
          <w:tcPr>
            <w:tcW w:w="4160" w:type="dxa"/>
          </w:tcPr>
          <w:p w:rsidR="001D1E59" w:rsidRPr="002F6799" w:rsidRDefault="001D1E59" w:rsidP="00AF4568">
            <w:pPr>
              <w:pStyle w:val="BodyText"/>
              <w:ind w:left="0"/>
              <w:jc w:val="center"/>
              <w:rPr>
                <w:lang w:val="en-NZ"/>
              </w:rPr>
            </w:pPr>
            <w:r>
              <w:rPr>
                <w:lang w:val="en-NZ"/>
              </w:rPr>
              <w:t>$350,000-$400</w:t>
            </w:r>
            <w:r w:rsidRPr="002F6799">
              <w:rPr>
                <w:lang w:val="en-NZ"/>
              </w:rPr>
              <w:t>,000</w:t>
            </w:r>
          </w:p>
        </w:tc>
        <w:tc>
          <w:tcPr>
            <w:tcW w:w="4062" w:type="dxa"/>
          </w:tcPr>
          <w:p w:rsidR="001D1E59" w:rsidRPr="002F6799" w:rsidRDefault="001D1E59" w:rsidP="00AF4568">
            <w:pPr>
              <w:pStyle w:val="BodyText"/>
              <w:ind w:left="0"/>
              <w:jc w:val="center"/>
              <w:rPr>
                <w:lang w:val="en-NZ"/>
              </w:rPr>
            </w:pPr>
            <w:r w:rsidRPr="002F6799">
              <w:rPr>
                <w:lang w:val="en-NZ"/>
              </w:rPr>
              <w:t>29%</w:t>
            </w:r>
          </w:p>
        </w:tc>
      </w:tr>
      <w:tr w:rsidR="001D1E59" w:rsidRPr="002F6799" w:rsidTr="00AF4568">
        <w:tc>
          <w:tcPr>
            <w:tcW w:w="4160" w:type="dxa"/>
          </w:tcPr>
          <w:p w:rsidR="001D1E59" w:rsidRPr="002F6799" w:rsidRDefault="001D1E59" w:rsidP="00AF4568">
            <w:pPr>
              <w:pStyle w:val="BodyText"/>
              <w:ind w:left="0"/>
              <w:jc w:val="center"/>
              <w:rPr>
                <w:lang w:val="en-NZ"/>
              </w:rPr>
            </w:pPr>
            <w:r w:rsidRPr="002F6799">
              <w:rPr>
                <w:lang w:val="en-NZ"/>
              </w:rPr>
              <w:t>$400,000-$450,000</w:t>
            </w:r>
          </w:p>
        </w:tc>
        <w:tc>
          <w:tcPr>
            <w:tcW w:w="4062" w:type="dxa"/>
          </w:tcPr>
          <w:p w:rsidR="001D1E59" w:rsidRPr="002F6799" w:rsidRDefault="001D1E59" w:rsidP="00AF4568">
            <w:pPr>
              <w:pStyle w:val="BodyText"/>
              <w:ind w:left="0"/>
              <w:jc w:val="center"/>
              <w:rPr>
                <w:lang w:val="en-NZ"/>
              </w:rPr>
            </w:pPr>
            <w:r w:rsidRPr="002F6799">
              <w:rPr>
                <w:lang w:val="en-NZ"/>
              </w:rPr>
              <w:t>13%</w:t>
            </w:r>
          </w:p>
        </w:tc>
      </w:tr>
      <w:tr w:rsidR="001D1E59" w:rsidRPr="002F6799" w:rsidTr="00AF4568">
        <w:tc>
          <w:tcPr>
            <w:tcW w:w="4160" w:type="dxa"/>
          </w:tcPr>
          <w:p w:rsidR="001D1E59" w:rsidRPr="002F6799" w:rsidRDefault="001D1E59" w:rsidP="00AF4568">
            <w:pPr>
              <w:pStyle w:val="BodyText"/>
              <w:ind w:left="0"/>
              <w:jc w:val="center"/>
              <w:rPr>
                <w:lang w:val="en-NZ"/>
              </w:rPr>
            </w:pPr>
            <w:r w:rsidRPr="002F6799">
              <w:rPr>
                <w:lang w:val="en-NZ"/>
              </w:rPr>
              <w:t>450,000-500,000</w:t>
            </w:r>
          </w:p>
        </w:tc>
        <w:tc>
          <w:tcPr>
            <w:tcW w:w="4062" w:type="dxa"/>
          </w:tcPr>
          <w:p w:rsidR="001D1E59" w:rsidRPr="002F6799" w:rsidRDefault="001D1E59" w:rsidP="00AF4568">
            <w:pPr>
              <w:pStyle w:val="BodyText"/>
              <w:ind w:left="0"/>
              <w:jc w:val="center"/>
              <w:rPr>
                <w:lang w:val="en-NZ"/>
              </w:rPr>
            </w:pPr>
            <w:r w:rsidRPr="002F6799">
              <w:rPr>
                <w:lang w:val="en-NZ"/>
              </w:rPr>
              <w:t>51%</w:t>
            </w:r>
          </w:p>
        </w:tc>
      </w:tr>
      <w:tr w:rsidR="001D1E59" w:rsidRPr="002F6799" w:rsidTr="00AF4568">
        <w:tc>
          <w:tcPr>
            <w:tcW w:w="4160" w:type="dxa"/>
          </w:tcPr>
          <w:p w:rsidR="001D1E59" w:rsidRPr="002F6799" w:rsidRDefault="001D1E59" w:rsidP="00AF4568">
            <w:pPr>
              <w:pStyle w:val="BodyText"/>
              <w:ind w:left="0"/>
              <w:jc w:val="center"/>
              <w:rPr>
                <w:lang w:val="en-NZ"/>
              </w:rPr>
            </w:pPr>
            <w:r w:rsidRPr="002F6799">
              <w:rPr>
                <w:lang w:val="en-NZ"/>
              </w:rPr>
              <w:t>$500,000-550,000</w:t>
            </w:r>
          </w:p>
        </w:tc>
        <w:tc>
          <w:tcPr>
            <w:tcW w:w="4062" w:type="dxa"/>
          </w:tcPr>
          <w:p w:rsidR="001D1E59" w:rsidRPr="002F6799" w:rsidRDefault="001D1E59" w:rsidP="00AF4568">
            <w:pPr>
              <w:pStyle w:val="BodyText"/>
              <w:ind w:left="0"/>
              <w:jc w:val="center"/>
              <w:rPr>
                <w:lang w:val="en-NZ"/>
              </w:rPr>
            </w:pPr>
            <w:r w:rsidRPr="002F6799">
              <w:rPr>
                <w:lang w:val="en-NZ"/>
              </w:rPr>
              <w:t>3%</w:t>
            </w:r>
          </w:p>
        </w:tc>
      </w:tr>
      <w:tr w:rsidR="001D1E59" w:rsidRPr="002F6799" w:rsidTr="00AF4568">
        <w:tc>
          <w:tcPr>
            <w:tcW w:w="4160" w:type="dxa"/>
          </w:tcPr>
          <w:p w:rsidR="001D1E59" w:rsidRPr="002F6799" w:rsidRDefault="001D1E59" w:rsidP="00AF4568">
            <w:pPr>
              <w:pStyle w:val="BodyText"/>
              <w:ind w:left="0"/>
              <w:jc w:val="center"/>
              <w:rPr>
                <w:lang w:val="en-NZ"/>
              </w:rPr>
            </w:pPr>
            <w:r w:rsidRPr="002F6799">
              <w:rPr>
                <w:lang w:val="en-NZ"/>
              </w:rPr>
              <w:t>&gt;$550,000</w:t>
            </w:r>
          </w:p>
        </w:tc>
        <w:tc>
          <w:tcPr>
            <w:tcW w:w="4062" w:type="dxa"/>
          </w:tcPr>
          <w:p w:rsidR="001D1E59" w:rsidRPr="002F6799" w:rsidRDefault="001D1E59" w:rsidP="00AF4568">
            <w:pPr>
              <w:pStyle w:val="BodyText"/>
              <w:ind w:left="0"/>
              <w:jc w:val="center"/>
              <w:rPr>
                <w:lang w:val="en-NZ"/>
              </w:rPr>
            </w:pPr>
            <w:r w:rsidRPr="002F6799">
              <w:rPr>
                <w:lang w:val="en-NZ"/>
              </w:rPr>
              <w:t>0%</w:t>
            </w:r>
          </w:p>
        </w:tc>
      </w:tr>
    </w:tbl>
    <w:p w:rsidR="001D1E59" w:rsidRPr="002F6799" w:rsidRDefault="001D1E59" w:rsidP="00975F5B">
      <w:pPr>
        <w:pStyle w:val="BodyText"/>
        <w:spacing w:line="360" w:lineRule="auto"/>
        <w:jc w:val="center"/>
        <w:rPr>
          <w:lang w:val="en-NZ"/>
        </w:rPr>
      </w:pPr>
    </w:p>
    <w:p w:rsidR="001D1E59" w:rsidRPr="002F6799" w:rsidRDefault="001D1E59" w:rsidP="00975F5B">
      <w:pPr>
        <w:pStyle w:val="BodyText"/>
        <w:spacing w:line="360" w:lineRule="auto"/>
        <w:rPr>
          <w:lang w:val="en-NZ"/>
        </w:rPr>
      </w:pPr>
      <w:r>
        <w:rPr>
          <w:lang w:val="en-NZ"/>
        </w:rPr>
        <w:t>The R</w:t>
      </w:r>
      <w:r w:rsidRPr="002F6799">
        <w:rPr>
          <w:lang w:val="en-NZ"/>
        </w:rPr>
        <w:t>eport includes a specific section on housing affordabili</w:t>
      </w:r>
      <w:r>
        <w:rPr>
          <w:lang w:val="en-NZ"/>
        </w:rPr>
        <w:t>ty. It notes that the majority of new houses being built in the Tauranga market (66%) are over a capital value of $400,000. O</w:t>
      </w:r>
      <w:r w:rsidRPr="002F6799">
        <w:rPr>
          <w:lang w:val="en-NZ"/>
        </w:rPr>
        <w:t xml:space="preserve">ptions </w:t>
      </w:r>
      <w:r>
        <w:rPr>
          <w:lang w:val="en-NZ"/>
        </w:rPr>
        <w:t xml:space="preserve">identified </w:t>
      </w:r>
      <w:r w:rsidRPr="002F6799">
        <w:rPr>
          <w:lang w:val="en-NZ"/>
        </w:rPr>
        <w:t>for reducing the cost of housing</w:t>
      </w:r>
      <w:r>
        <w:rPr>
          <w:lang w:val="en-NZ"/>
        </w:rPr>
        <w:t xml:space="preserve"> are</w:t>
      </w:r>
      <w:r w:rsidRPr="002F6799">
        <w:rPr>
          <w:lang w:val="en-NZ"/>
        </w:rPr>
        <w:t>:</w:t>
      </w:r>
    </w:p>
    <w:p w:rsidR="001D1E59" w:rsidRPr="002F6799" w:rsidRDefault="001D1E59" w:rsidP="00D17AD7">
      <w:pPr>
        <w:pStyle w:val="BodyText"/>
        <w:numPr>
          <w:ilvl w:val="0"/>
          <w:numId w:val="4"/>
        </w:numPr>
        <w:spacing w:line="360" w:lineRule="auto"/>
        <w:ind w:left="1134"/>
        <w:rPr>
          <w:lang w:val="en-NZ"/>
        </w:rPr>
      </w:pPr>
      <w:r w:rsidRPr="002F6799">
        <w:rPr>
          <w:lang w:val="en-NZ"/>
        </w:rPr>
        <w:t>More favourable land purchase terms</w:t>
      </w:r>
      <w:r>
        <w:rPr>
          <w:lang w:val="en-NZ"/>
        </w:rPr>
        <w:t xml:space="preserve"> (e.g. developers pay less for land).</w:t>
      </w:r>
    </w:p>
    <w:p w:rsidR="001D1E59" w:rsidRPr="002F6799" w:rsidRDefault="001D1E59" w:rsidP="00D17AD7">
      <w:pPr>
        <w:pStyle w:val="BodyText"/>
        <w:numPr>
          <w:ilvl w:val="0"/>
          <w:numId w:val="4"/>
        </w:numPr>
        <w:spacing w:line="360" w:lineRule="auto"/>
        <w:ind w:left="1134"/>
        <w:rPr>
          <w:lang w:val="en-NZ"/>
        </w:rPr>
      </w:pPr>
      <w:r w:rsidRPr="002F6799">
        <w:rPr>
          <w:lang w:val="en-NZ"/>
        </w:rPr>
        <w:t>Delivering more sections by reducing the average section size</w:t>
      </w:r>
    </w:p>
    <w:p w:rsidR="001D1E59" w:rsidRPr="002F6799" w:rsidRDefault="001D1E59" w:rsidP="00D17AD7">
      <w:pPr>
        <w:pStyle w:val="BodyText"/>
        <w:numPr>
          <w:ilvl w:val="0"/>
          <w:numId w:val="4"/>
        </w:numPr>
        <w:spacing w:line="360" w:lineRule="auto"/>
        <w:ind w:left="1134"/>
        <w:rPr>
          <w:lang w:val="en-NZ"/>
        </w:rPr>
      </w:pPr>
      <w:r w:rsidRPr="002F6799">
        <w:rPr>
          <w:lang w:val="en-NZ"/>
        </w:rPr>
        <w:t>Lower council fees (especially subdivision and building impact fees)</w:t>
      </w:r>
    </w:p>
    <w:p w:rsidR="001D1E59" w:rsidRPr="002F6799" w:rsidRDefault="001D1E59" w:rsidP="00D17AD7">
      <w:pPr>
        <w:pStyle w:val="BodyText"/>
        <w:numPr>
          <w:ilvl w:val="0"/>
          <w:numId w:val="4"/>
        </w:numPr>
        <w:spacing w:line="360" w:lineRule="auto"/>
        <w:ind w:left="1134"/>
        <w:rPr>
          <w:lang w:val="en-NZ"/>
        </w:rPr>
      </w:pPr>
      <w:r w:rsidRPr="002F6799">
        <w:rPr>
          <w:lang w:val="en-NZ"/>
        </w:rPr>
        <w:t>Building smaller houses</w:t>
      </w:r>
    </w:p>
    <w:p w:rsidR="001D1E59" w:rsidRPr="002F6799" w:rsidRDefault="001D1E59" w:rsidP="00D17AD7">
      <w:pPr>
        <w:pStyle w:val="BodyText"/>
        <w:numPr>
          <w:ilvl w:val="0"/>
          <w:numId w:val="4"/>
        </w:numPr>
        <w:spacing w:line="360" w:lineRule="auto"/>
        <w:ind w:left="1134"/>
        <w:rPr>
          <w:lang w:val="en-NZ"/>
        </w:rPr>
      </w:pPr>
      <w:r w:rsidRPr="002F6799">
        <w:rPr>
          <w:lang w:val="en-NZ"/>
        </w:rPr>
        <w:t>Using lower cost building materials/specifications</w:t>
      </w:r>
      <w:r>
        <w:rPr>
          <w:lang w:val="en-NZ"/>
        </w:rPr>
        <w:t xml:space="preserve"> or ‘standardising’ building plans (private development covenants may have to be adjusted to allow this).</w:t>
      </w:r>
    </w:p>
    <w:p w:rsidR="001D1E59" w:rsidRDefault="001D1E59" w:rsidP="00CD0650">
      <w:pPr>
        <w:pStyle w:val="BodyText"/>
        <w:spacing w:line="360" w:lineRule="auto"/>
      </w:pPr>
      <w:r>
        <w:t xml:space="preserve">The Report made a number of recommendations but observed </w:t>
      </w:r>
      <w:r w:rsidRPr="002F6799">
        <w:t>that Council in itself is unable to resolve all these issues, requiring a collaborative a</w:t>
      </w:r>
      <w:r>
        <w:t>nd concerted effort by many parties.</w:t>
      </w:r>
    </w:p>
    <w:p w:rsidR="001D1E59" w:rsidRDefault="001D1E59" w:rsidP="00CD0650">
      <w:pPr>
        <w:pStyle w:val="BodyText"/>
        <w:spacing w:line="360" w:lineRule="auto"/>
      </w:pPr>
      <w:r>
        <w:t xml:space="preserve">Recent financial viability research for Te Tumu, Omokoroa and Te Puke, using the same methodology as applied at Wairakei, has also highlighted similar affordability challenges in opening up housing in these locations (See Assessments of Residential Development </w:t>
      </w:r>
      <w:r w:rsidR="0039580F">
        <w:t>Feasibility</w:t>
      </w:r>
      <w:r>
        <w:t xml:space="preserve"> for Omokoroa, Te Puke, Te Tumu and Wairakei by WBOPDC and TCC for SmartGrowth Update Project).</w:t>
      </w:r>
    </w:p>
    <w:p w:rsidR="0093208D" w:rsidRDefault="0093208D" w:rsidP="005803CF">
      <w:pPr>
        <w:pStyle w:val="Heading2"/>
        <w:numPr>
          <w:ilvl w:val="0"/>
          <w:numId w:val="0"/>
        </w:numPr>
        <w:spacing w:line="360" w:lineRule="auto"/>
        <w:ind w:firstLine="770"/>
        <w:rPr>
          <w:rFonts w:ascii="Arial" w:hAnsi="Arial"/>
        </w:rPr>
      </w:pPr>
      <w:bookmarkStart w:id="9" w:name="_Toc340491921"/>
    </w:p>
    <w:p w:rsidR="001D1E59" w:rsidRPr="00E613B3" w:rsidRDefault="001D1E59" w:rsidP="005803CF">
      <w:pPr>
        <w:pStyle w:val="Heading2"/>
        <w:numPr>
          <w:ilvl w:val="0"/>
          <w:numId w:val="0"/>
        </w:numPr>
        <w:spacing w:line="360" w:lineRule="auto"/>
        <w:ind w:firstLine="770"/>
        <w:rPr>
          <w:rFonts w:ascii="Arial" w:hAnsi="Arial"/>
        </w:rPr>
      </w:pPr>
      <w:r w:rsidRPr="00E613B3">
        <w:rPr>
          <w:rFonts w:ascii="Arial" w:hAnsi="Arial"/>
        </w:rPr>
        <w:t xml:space="preserve">Māori Housing - </w:t>
      </w:r>
      <w:bookmarkEnd w:id="9"/>
      <w:r w:rsidR="0039580F" w:rsidRPr="00E613B3">
        <w:rPr>
          <w:rFonts w:ascii="Arial" w:hAnsi="Arial"/>
        </w:rPr>
        <w:t>Papakainga</w:t>
      </w:r>
    </w:p>
    <w:p w:rsidR="001D1E59" w:rsidRPr="00E613B3" w:rsidRDefault="001D1E59" w:rsidP="005803CF">
      <w:pPr>
        <w:pStyle w:val="BodyText"/>
        <w:spacing w:line="360" w:lineRule="auto"/>
        <w:rPr>
          <w:lang w:val="en-NZ"/>
        </w:rPr>
      </w:pPr>
      <w:r w:rsidRPr="00E613B3">
        <w:t xml:space="preserve">A paper titled </w:t>
      </w:r>
      <w:r w:rsidRPr="00E613B3">
        <w:rPr>
          <w:i/>
        </w:rPr>
        <w:t>Māori Demographics and SmartGrowth Targets for Māori Housing</w:t>
      </w:r>
      <w:r w:rsidRPr="00E613B3">
        <w:rPr>
          <w:lang w:val="en-NZ"/>
        </w:rPr>
        <w:t xml:space="preserve"> was prepared by Tu Pakari </w:t>
      </w:r>
      <w:r>
        <w:rPr>
          <w:lang w:val="en-NZ"/>
        </w:rPr>
        <w:t xml:space="preserve">Advisor for SmartGrowth in 2008. It </w:t>
      </w:r>
      <w:r w:rsidRPr="00E613B3">
        <w:rPr>
          <w:lang w:val="en-NZ"/>
        </w:rPr>
        <w:t xml:space="preserve">identifies and discusses issues regarding the provision of housing for Māori, in particular tangata whenua of the western Bay of Plenty.  </w:t>
      </w:r>
      <w:r>
        <w:rPr>
          <w:lang w:val="en-NZ"/>
        </w:rPr>
        <w:t xml:space="preserve">Since the inception of SmartGrowth tangata whenua have consistently identified housing affordability as a growing issue for Maori. </w:t>
      </w:r>
      <w:r w:rsidRPr="00E613B3">
        <w:rPr>
          <w:lang w:val="en-NZ"/>
        </w:rPr>
        <w:t xml:space="preserve">The projections at the time anticipated </w:t>
      </w:r>
      <w:r w:rsidR="0039580F" w:rsidRPr="00E613B3">
        <w:rPr>
          <w:lang w:val="en-NZ"/>
        </w:rPr>
        <w:t>Papakainga</w:t>
      </w:r>
      <w:r w:rsidRPr="00E613B3">
        <w:rPr>
          <w:lang w:val="en-NZ"/>
        </w:rPr>
        <w:t xml:space="preserve"> housing (at its maximum) being an estimated 775 homes for 2,265 – 3,775 people in the next decade (2008 -2018), </w:t>
      </w:r>
      <w:r>
        <w:rPr>
          <w:lang w:val="en-NZ"/>
        </w:rPr>
        <w:t xml:space="preserve">with </w:t>
      </w:r>
      <w:r w:rsidRPr="00E613B3">
        <w:rPr>
          <w:lang w:val="en-NZ"/>
        </w:rPr>
        <w:t xml:space="preserve">many more houses in the long term. It is acknowledged that the 2013 census will assist in further clarifying population demographics and housing demands. </w:t>
      </w:r>
    </w:p>
    <w:p w:rsidR="001D1E59" w:rsidRPr="005803CF" w:rsidRDefault="001D1E59" w:rsidP="005803CF">
      <w:pPr>
        <w:pStyle w:val="BodyText"/>
        <w:spacing w:line="360" w:lineRule="auto"/>
        <w:rPr>
          <w:lang w:val="en-NZ"/>
        </w:rPr>
      </w:pPr>
      <w:r w:rsidRPr="00E613B3">
        <w:t xml:space="preserve">The paper recommended a focus on finance, land administration and infrastructure for the period 2008 to 2011. The paper concludes that the </w:t>
      </w:r>
      <w:r w:rsidR="0039580F" w:rsidRPr="00E613B3">
        <w:t>Papakainga</w:t>
      </w:r>
      <w:r w:rsidRPr="00E613B3">
        <w:t xml:space="preserve"> housing programme</w:t>
      </w:r>
      <w:r>
        <w:t xml:space="preserve"> (an action in the SmartGrowth Strategy)</w:t>
      </w:r>
      <w:r w:rsidRPr="00E613B3">
        <w:t xml:space="preserve"> is an important approach </w:t>
      </w:r>
      <w:r>
        <w:t xml:space="preserve">to </w:t>
      </w:r>
      <w:r w:rsidR="00827321">
        <w:t>housing affordability amongst</w:t>
      </w:r>
      <w:r>
        <w:t xml:space="preserve"> Maori.</w:t>
      </w:r>
      <w:r w:rsidRPr="00E613B3">
        <w:t xml:space="preserve"> Treaty settlements were not considered a relevant factor at the time</w:t>
      </w:r>
      <w:r>
        <w:t xml:space="preserve"> the paper was written</w:t>
      </w:r>
      <w:r w:rsidRPr="00E613B3">
        <w:t xml:space="preserve">.  </w:t>
      </w:r>
      <w:r>
        <w:t xml:space="preserve">Since then significant progress has been made in developing, and now </w:t>
      </w:r>
      <w:r w:rsidR="0039580F">
        <w:t>implementing</w:t>
      </w:r>
      <w:r>
        <w:t xml:space="preserve">, the </w:t>
      </w:r>
      <w:r w:rsidR="0039580F">
        <w:t>Papakainga</w:t>
      </w:r>
      <w:r>
        <w:t xml:space="preserve"> Housing toolkit as a supportive, comprehensive guide to developing </w:t>
      </w:r>
      <w:r w:rsidR="0039580F">
        <w:t>Papakainga</w:t>
      </w:r>
      <w:r>
        <w:t xml:space="preserve"> in the western Bay sub-region.</w:t>
      </w:r>
    </w:p>
    <w:p w:rsidR="001D1E59" w:rsidRPr="009A2564" w:rsidRDefault="001D1E59" w:rsidP="009A2564">
      <w:pPr>
        <w:pStyle w:val="BodyText"/>
        <w:spacing w:line="276" w:lineRule="auto"/>
        <w:rPr>
          <w:lang w:val="en-NZ"/>
        </w:rPr>
      </w:pPr>
    </w:p>
    <w:p w:rsidR="001D1E59" w:rsidRPr="002F6799" w:rsidRDefault="001D1E59" w:rsidP="00DA6C2F">
      <w:pPr>
        <w:pStyle w:val="Heading1"/>
        <w:rPr>
          <w:rFonts w:ascii="Arial" w:hAnsi="Arial"/>
        </w:rPr>
      </w:pPr>
      <w:bookmarkStart w:id="10" w:name="_Toc338427775"/>
      <w:r>
        <w:rPr>
          <w:rFonts w:ascii="Arial" w:hAnsi="Arial"/>
        </w:rPr>
        <w:t xml:space="preserve">WHAT OTHERS SAY: </w:t>
      </w:r>
      <w:r w:rsidRPr="002F6799">
        <w:rPr>
          <w:rFonts w:ascii="Arial" w:hAnsi="Arial"/>
        </w:rPr>
        <w:t>SUMMARY OF LITERATURE REVIEW</w:t>
      </w:r>
      <w:bookmarkEnd w:id="10"/>
    </w:p>
    <w:p w:rsidR="001D1E59" w:rsidRDefault="001D1E59" w:rsidP="006B25ED">
      <w:pPr>
        <w:autoSpaceDE w:val="0"/>
        <w:autoSpaceDN w:val="0"/>
        <w:adjustRightInd w:val="0"/>
        <w:spacing w:line="360" w:lineRule="auto"/>
        <w:ind w:left="720"/>
        <w:rPr>
          <w:lang w:val="en-GB"/>
        </w:rPr>
      </w:pPr>
      <w:bookmarkStart w:id="11" w:name="Text9"/>
    </w:p>
    <w:p w:rsidR="001D1E59" w:rsidRDefault="001D1E59" w:rsidP="00233CD1">
      <w:pPr>
        <w:autoSpaceDE w:val="0"/>
        <w:autoSpaceDN w:val="0"/>
        <w:adjustRightInd w:val="0"/>
        <w:spacing w:line="360" w:lineRule="auto"/>
        <w:rPr>
          <w:b/>
          <w:lang w:val="en-GB"/>
        </w:rPr>
      </w:pPr>
      <w:r w:rsidRPr="00233CD1">
        <w:rPr>
          <w:b/>
          <w:lang w:val="en-GB"/>
        </w:rPr>
        <w:t>4.1</w:t>
      </w:r>
      <w:r w:rsidRPr="00233CD1">
        <w:rPr>
          <w:b/>
          <w:lang w:val="en-GB"/>
        </w:rPr>
        <w:tab/>
        <w:t>Summary of Literature Review Points</w:t>
      </w:r>
    </w:p>
    <w:p w:rsidR="001D1E59" w:rsidRPr="00233CD1" w:rsidRDefault="001D1E59" w:rsidP="00233CD1">
      <w:pPr>
        <w:autoSpaceDE w:val="0"/>
        <w:autoSpaceDN w:val="0"/>
        <w:adjustRightInd w:val="0"/>
        <w:spacing w:line="360" w:lineRule="auto"/>
        <w:ind w:left="660" w:hanging="660"/>
        <w:rPr>
          <w:b/>
          <w:lang w:val="en-GB"/>
        </w:rPr>
      </w:pPr>
    </w:p>
    <w:p w:rsidR="001D1E59" w:rsidRPr="002F6799" w:rsidRDefault="001D1E59" w:rsidP="00233CD1">
      <w:pPr>
        <w:autoSpaceDE w:val="0"/>
        <w:autoSpaceDN w:val="0"/>
        <w:adjustRightInd w:val="0"/>
        <w:spacing w:line="360" w:lineRule="auto"/>
        <w:ind w:left="660"/>
      </w:pPr>
      <w:r>
        <w:t xml:space="preserve">A literature review on housing affordability has been undertaken as part of preparing this paper. </w:t>
      </w:r>
      <w:r w:rsidRPr="002F6799">
        <w:t xml:space="preserve">The key themes or points </w:t>
      </w:r>
      <w:r>
        <w:t>noted are:</w:t>
      </w:r>
    </w:p>
    <w:p w:rsidR="001D1E59" w:rsidRDefault="001D1E59" w:rsidP="00D17AD7">
      <w:pPr>
        <w:pStyle w:val="ListParagraph"/>
        <w:numPr>
          <w:ilvl w:val="0"/>
          <w:numId w:val="5"/>
        </w:numPr>
        <w:spacing w:line="360" w:lineRule="auto"/>
        <w:rPr>
          <w:rFonts w:cs="Arial"/>
          <w:sz w:val="22"/>
          <w:szCs w:val="22"/>
        </w:rPr>
      </w:pPr>
      <w:r w:rsidRPr="002F6799">
        <w:rPr>
          <w:rFonts w:cs="Arial"/>
          <w:sz w:val="22"/>
          <w:szCs w:val="22"/>
        </w:rPr>
        <w:t>Confirmation that there are many matters and stakeholders that contribute to housing affordability</w:t>
      </w:r>
      <w:r w:rsidRPr="00233CD1">
        <w:rPr>
          <w:rFonts w:cs="Arial"/>
          <w:sz w:val="22"/>
          <w:szCs w:val="22"/>
        </w:rPr>
        <w:t xml:space="preserve"> </w:t>
      </w:r>
    </w:p>
    <w:p w:rsidR="001D1E59" w:rsidRPr="002F6799" w:rsidRDefault="001D1E59" w:rsidP="00D17AD7">
      <w:pPr>
        <w:pStyle w:val="ListParagraph"/>
        <w:numPr>
          <w:ilvl w:val="0"/>
          <w:numId w:val="5"/>
        </w:numPr>
        <w:spacing w:line="360" w:lineRule="auto"/>
        <w:rPr>
          <w:rFonts w:cs="Arial"/>
          <w:sz w:val="22"/>
          <w:szCs w:val="22"/>
        </w:rPr>
      </w:pPr>
      <w:r w:rsidRPr="002F6799">
        <w:rPr>
          <w:rFonts w:cs="Arial"/>
          <w:sz w:val="22"/>
          <w:szCs w:val="22"/>
        </w:rPr>
        <w:t>There are strong social and cultural imperatives underlying home ownership</w:t>
      </w:r>
      <w:r>
        <w:rPr>
          <w:rFonts w:cs="Arial"/>
          <w:sz w:val="22"/>
          <w:szCs w:val="22"/>
        </w:rPr>
        <w:t xml:space="preserve"> and the housing decisions people make</w:t>
      </w:r>
    </w:p>
    <w:p w:rsidR="001D1E59" w:rsidRPr="002F6799" w:rsidRDefault="001D1E59" w:rsidP="00D17AD7">
      <w:pPr>
        <w:pStyle w:val="ListParagraph"/>
        <w:numPr>
          <w:ilvl w:val="0"/>
          <w:numId w:val="5"/>
        </w:numPr>
        <w:spacing w:line="360" w:lineRule="auto"/>
        <w:rPr>
          <w:rFonts w:cs="Arial"/>
          <w:sz w:val="22"/>
          <w:szCs w:val="22"/>
        </w:rPr>
      </w:pPr>
      <w:r w:rsidRPr="002F6799">
        <w:rPr>
          <w:rFonts w:cs="Arial"/>
          <w:sz w:val="22"/>
          <w:szCs w:val="22"/>
        </w:rPr>
        <w:t>There are alternative home ownership models being used inte</w:t>
      </w:r>
      <w:r>
        <w:rPr>
          <w:rFonts w:cs="Arial"/>
          <w:sz w:val="22"/>
          <w:szCs w:val="22"/>
        </w:rPr>
        <w:t>rnationally that could be considered in New Zealand</w:t>
      </w:r>
    </w:p>
    <w:p w:rsidR="001D1E59" w:rsidRDefault="001D1E59" w:rsidP="00D17AD7">
      <w:pPr>
        <w:pStyle w:val="ListParagraph"/>
        <w:numPr>
          <w:ilvl w:val="0"/>
          <w:numId w:val="5"/>
        </w:numPr>
        <w:spacing w:line="360" w:lineRule="auto"/>
        <w:rPr>
          <w:rFonts w:cs="Arial"/>
          <w:sz w:val="22"/>
          <w:szCs w:val="22"/>
        </w:rPr>
      </w:pPr>
      <w:r>
        <w:rPr>
          <w:rFonts w:cs="Arial"/>
          <w:sz w:val="22"/>
          <w:szCs w:val="22"/>
        </w:rPr>
        <w:t xml:space="preserve">A collaborative approach seems to work best in gaining success </w:t>
      </w:r>
      <w:r w:rsidR="00E35AC4">
        <w:rPr>
          <w:rFonts w:cs="Arial"/>
          <w:sz w:val="22"/>
          <w:szCs w:val="22"/>
        </w:rPr>
        <w:t xml:space="preserve">(see diagram </w:t>
      </w:r>
      <w:r w:rsidR="00E35AC4" w:rsidRPr="00E35AC4">
        <w:rPr>
          <w:rFonts w:cs="Arial"/>
          <w:b/>
          <w:sz w:val="22"/>
          <w:szCs w:val="22"/>
        </w:rPr>
        <w:t>Appendix 1</w:t>
      </w:r>
      <w:r w:rsidR="00E35AC4">
        <w:rPr>
          <w:rFonts w:cs="Arial"/>
          <w:sz w:val="22"/>
          <w:szCs w:val="22"/>
        </w:rPr>
        <w:t>)</w:t>
      </w:r>
    </w:p>
    <w:p w:rsidR="001D1E59" w:rsidRDefault="001D1E59" w:rsidP="00205A71"/>
    <w:p w:rsidR="001D1E59" w:rsidRDefault="001D1E59" w:rsidP="0093208D">
      <w:pPr>
        <w:autoSpaceDE w:val="0"/>
        <w:autoSpaceDN w:val="0"/>
        <w:adjustRightInd w:val="0"/>
        <w:spacing w:line="360" w:lineRule="auto"/>
        <w:ind w:left="660"/>
      </w:pPr>
      <w:r>
        <w:t>The literature review material is presented in three broad themes:</w:t>
      </w:r>
    </w:p>
    <w:p w:rsidR="001D1E59" w:rsidRPr="0039580F" w:rsidRDefault="001D1E59" w:rsidP="0039580F">
      <w:pPr>
        <w:pStyle w:val="ListParagraph"/>
        <w:numPr>
          <w:ilvl w:val="0"/>
          <w:numId w:val="5"/>
        </w:numPr>
        <w:spacing w:line="360" w:lineRule="auto"/>
        <w:rPr>
          <w:rFonts w:cs="Arial"/>
          <w:sz w:val="22"/>
          <w:szCs w:val="22"/>
        </w:rPr>
      </w:pPr>
      <w:r w:rsidRPr="0039580F">
        <w:rPr>
          <w:rFonts w:cs="Arial"/>
          <w:sz w:val="22"/>
          <w:szCs w:val="22"/>
        </w:rPr>
        <w:t>Land development costs</w:t>
      </w:r>
    </w:p>
    <w:p w:rsidR="001D1E59" w:rsidRPr="0093208D" w:rsidRDefault="001D1E59" w:rsidP="0039580F">
      <w:pPr>
        <w:pStyle w:val="ListParagraph"/>
        <w:numPr>
          <w:ilvl w:val="0"/>
          <w:numId w:val="5"/>
        </w:numPr>
        <w:spacing w:line="360" w:lineRule="auto"/>
        <w:rPr>
          <w:rFonts w:cs="Arial"/>
          <w:sz w:val="22"/>
          <w:szCs w:val="22"/>
        </w:rPr>
      </w:pPr>
      <w:r w:rsidRPr="0093208D">
        <w:rPr>
          <w:rFonts w:cs="Arial"/>
          <w:sz w:val="22"/>
          <w:szCs w:val="22"/>
        </w:rPr>
        <w:t>Building  costs</w:t>
      </w:r>
    </w:p>
    <w:p w:rsidR="001D1E59" w:rsidRDefault="001D1E59" w:rsidP="0039580F">
      <w:pPr>
        <w:pStyle w:val="ListParagraph"/>
        <w:numPr>
          <w:ilvl w:val="0"/>
          <w:numId w:val="5"/>
        </w:numPr>
        <w:spacing w:line="360" w:lineRule="auto"/>
        <w:rPr>
          <w:rFonts w:cs="Arial"/>
          <w:sz w:val="22"/>
          <w:szCs w:val="22"/>
        </w:rPr>
      </w:pPr>
      <w:r w:rsidRPr="0093208D">
        <w:rPr>
          <w:rFonts w:cs="Arial"/>
          <w:sz w:val="22"/>
          <w:szCs w:val="22"/>
        </w:rPr>
        <w:t>Leadership, ownership, financial and funding arrangements</w:t>
      </w:r>
    </w:p>
    <w:p w:rsidR="0039580F" w:rsidRPr="0039580F" w:rsidRDefault="0039580F" w:rsidP="0039580F">
      <w:pPr>
        <w:spacing w:line="360" w:lineRule="auto"/>
      </w:pPr>
    </w:p>
    <w:p w:rsidR="001D1E59" w:rsidRDefault="001D1E59" w:rsidP="00CD0650">
      <w:pPr>
        <w:pStyle w:val="Heading2"/>
        <w:numPr>
          <w:ilvl w:val="0"/>
          <w:numId w:val="0"/>
        </w:numPr>
        <w:ind w:left="770" w:hanging="770"/>
        <w:rPr>
          <w:rFonts w:ascii="Arial" w:hAnsi="Arial"/>
          <w:u w:val="none"/>
        </w:rPr>
      </w:pPr>
      <w:r w:rsidRPr="00233CD1">
        <w:rPr>
          <w:rFonts w:ascii="Arial" w:hAnsi="Arial"/>
          <w:u w:val="none"/>
        </w:rPr>
        <w:t>4.2</w:t>
      </w:r>
      <w:r w:rsidRPr="00233CD1">
        <w:rPr>
          <w:rFonts w:ascii="Arial" w:hAnsi="Arial"/>
          <w:u w:val="none"/>
        </w:rPr>
        <w:tab/>
      </w:r>
      <w:r>
        <w:rPr>
          <w:rFonts w:ascii="Arial" w:hAnsi="Arial"/>
          <w:u w:val="none"/>
        </w:rPr>
        <w:t xml:space="preserve">Literature Review: Land Development Costs </w:t>
      </w:r>
    </w:p>
    <w:p w:rsidR="001D1E59" w:rsidRDefault="001D1E59" w:rsidP="00CD0650">
      <w:pPr>
        <w:pStyle w:val="Heading2"/>
        <w:numPr>
          <w:ilvl w:val="0"/>
          <w:numId w:val="0"/>
        </w:numPr>
        <w:ind w:left="770" w:hanging="770"/>
        <w:rPr>
          <w:rFonts w:ascii="Arial" w:hAnsi="Arial"/>
          <w:u w:val="none"/>
        </w:rPr>
      </w:pPr>
    </w:p>
    <w:p w:rsidR="001D1E59" w:rsidRDefault="001D1E59" w:rsidP="00592B80">
      <w:pPr>
        <w:ind w:firstLine="720"/>
        <w:rPr>
          <w:b/>
        </w:rPr>
      </w:pPr>
      <w:r w:rsidRPr="00592B80">
        <w:rPr>
          <w:b/>
        </w:rPr>
        <w:t>Productivity Commission Inquiry Report – March 2012</w:t>
      </w:r>
    </w:p>
    <w:p w:rsidR="001D1E59" w:rsidRPr="00592B80" w:rsidRDefault="001D1E59" w:rsidP="00592B80">
      <w:pPr>
        <w:ind w:firstLine="720"/>
        <w:rPr>
          <w:b/>
        </w:rPr>
      </w:pPr>
    </w:p>
    <w:p w:rsidR="001D1E59" w:rsidRPr="00D17AD7" w:rsidRDefault="001D1E59" w:rsidP="00592B80">
      <w:pPr>
        <w:autoSpaceDE w:val="0"/>
        <w:autoSpaceDN w:val="0"/>
        <w:adjustRightInd w:val="0"/>
        <w:spacing w:line="360" w:lineRule="auto"/>
        <w:ind w:left="720"/>
      </w:pPr>
      <w:r w:rsidRPr="00D17AD7">
        <w:t xml:space="preserve">The New Zealand Government asked the Productivity Commission to evaluate the factors influencing the affordability of housing in New Zealand (both rental and owner-occupied) and to examine potential opportunities to increase affordability.  </w:t>
      </w:r>
    </w:p>
    <w:p w:rsidR="001D1E59" w:rsidRPr="00D17AD7" w:rsidRDefault="001D1E59" w:rsidP="00592B80">
      <w:pPr>
        <w:autoSpaceDE w:val="0"/>
        <w:autoSpaceDN w:val="0"/>
        <w:adjustRightInd w:val="0"/>
        <w:spacing w:line="360" w:lineRule="auto"/>
        <w:ind w:left="720"/>
      </w:pPr>
      <w:r w:rsidRPr="00D17AD7">
        <w:t>Their report was released in March 2012 and is wide ranging in its enquiry but noticeably Auckland-centric in its commentary. There is a focus on the role of local government in finding solutions and less directive on the role and function of other parties, particularly central government. The Commission noted that here are no quick fixes and addressing housing affordability will require a coherent and concerted push across multiple policy areas.</w:t>
      </w:r>
    </w:p>
    <w:p w:rsidR="001D1E59" w:rsidRPr="00D17AD7" w:rsidRDefault="001D1E59" w:rsidP="00592B80">
      <w:pPr>
        <w:autoSpaceDE w:val="0"/>
        <w:autoSpaceDN w:val="0"/>
        <w:adjustRightInd w:val="0"/>
        <w:spacing w:line="360" w:lineRule="auto"/>
        <w:ind w:left="720"/>
      </w:pPr>
    </w:p>
    <w:p w:rsidR="001D1E59" w:rsidRPr="00D17AD7" w:rsidRDefault="001D1E59" w:rsidP="00592B80">
      <w:pPr>
        <w:autoSpaceDE w:val="0"/>
        <w:autoSpaceDN w:val="0"/>
        <w:adjustRightInd w:val="0"/>
        <w:spacing w:line="360" w:lineRule="auto"/>
        <w:ind w:left="720"/>
      </w:pPr>
      <w:r w:rsidRPr="00D17AD7">
        <w:t>Some key conclusions related to land development expectations are:</w:t>
      </w:r>
    </w:p>
    <w:p w:rsidR="001D1E59" w:rsidRPr="0039580F" w:rsidRDefault="001D1E59" w:rsidP="0039580F">
      <w:pPr>
        <w:pStyle w:val="ListParagraph"/>
        <w:numPr>
          <w:ilvl w:val="0"/>
          <w:numId w:val="5"/>
        </w:numPr>
        <w:spacing w:line="360" w:lineRule="auto"/>
        <w:rPr>
          <w:rFonts w:cs="Arial"/>
          <w:sz w:val="22"/>
          <w:szCs w:val="22"/>
        </w:rPr>
      </w:pPr>
      <w:r w:rsidRPr="0039580F">
        <w:rPr>
          <w:rFonts w:cs="Arial"/>
          <w:sz w:val="22"/>
          <w:szCs w:val="22"/>
        </w:rPr>
        <w:t>Urban containment policies have an adverse impact on housing affordability;</w:t>
      </w:r>
    </w:p>
    <w:p w:rsidR="001D1E59" w:rsidRPr="0039580F" w:rsidRDefault="001D1E59" w:rsidP="0039580F">
      <w:pPr>
        <w:pStyle w:val="ListParagraph"/>
        <w:numPr>
          <w:ilvl w:val="0"/>
          <w:numId w:val="5"/>
        </w:numPr>
        <w:spacing w:line="360" w:lineRule="auto"/>
        <w:rPr>
          <w:rFonts w:cs="Arial"/>
          <w:sz w:val="22"/>
          <w:szCs w:val="22"/>
        </w:rPr>
      </w:pPr>
      <w:r w:rsidRPr="0039580F">
        <w:rPr>
          <w:rFonts w:cs="Arial"/>
          <w:sz w:val="22"/>
          <w:szCs w:val="22"/>
        </w:rPr>
        <w:t xml:space="preserve">An immediate release of land for residential development would ease supply constraints and reduce the pressure on prices. This could be achieved by bringing significant tracts of new residential land on the urban fringe (greenfield) and urban land that could be redeveloped for housing (brownfield) land to the market;  </w:t>
      </w:r>
    </w:p>
    <w:p w:rsidR="001D1E59" w:rsidRPr="0039580F" w:rsidRDefault="001D1E59" w:rsidP="0039580F">
      <w:pPr>
        <w:pStyle w:val="ListParagraph"/>
        <w:numPr>
          <w:ilvl w:val="0"/>
          <w:numId w:val="5"/>
        </w:numPr>
        <w:spacing w:line="360" w:lineRule="auto"/>
        <w:rPr>
          <w:rFonts w:cs="Arial"/>
          <w:sz w:val="22"/>
          <w:szCs w:val="22"/>
        </w:rPr>
      </w:pPr>
      <w:r w:rsidRPr="0039580F">
        <w:rPr>
          <w:rFonts w:cs="Arial"/>
          <w:sz w:val="22"/>
          <w:szCs w:val="22"/>
        </w:rPr>
        <w:t>Councils should review regulatory processes with the aim of speeding up, simplifying and reducing the cost of plan and consent processes;</w:t>
      </w:r>
    </w:p>
    <w:p w:rsidR="001D1E59" w:rsidRPr="0039580F" w:rsidRDefault="001D1E59" w:rsidP="0039580F">
      <w:pPr>
        <w:pStyle w:val="ListParagraph"/>
        <w:numPr>
          <w:ilvl w:val="0"/>
          <w:numId w:val="5"/>
        </w:numPr>
        <w:spacing w:line="360" w:lineRule="auto"/>
        <w:rPr>
          <w:rFonts w:cs="Arial"/>
          <w:sz w:val="22"/>
          <w:szCs w:val="22"/>
        </w:rPr>
      </w:pPr>
      <w:r w:rsidRPr="0039580F">
        <w:rPr>
          <w:rFonts w:cs="Arial"/>
          <w:sz w:val="22"/>
          <w:szCs w:val="22"/>
        </w:rPr>
        <w:t>Strengthen transparency and accountability of councils in the implementation of development contributions;</w:t>
      </w:r>
    </w:p>
    <w:p w:rsidR="001D1E59" w:rsidRPr="0039580F" w:rsidRDefault="001D1E59" w:rsidP="0039580F">
      <w:pPr>
        <w:pStyle w:val="ListParagraph"/>
        <w:numPr>
          <w:ilvl w:val="0"/>
          <w:numId w:val="5"/>
        </w:numPr>
        <w:spacing w:line="360" w:lineRule="auto"/>
        <w:rPr>
          <w:rFonts w:cs="Arial"/>
          <w:sz w:val="22"/>
          <w:szCs w:val="22"/>
        </w:rPr>
      </w:pPr>
      <w:r w:rsidRPr="0039580F">
        <w:rPr>
          <w:rFonts w:cs="Arial"/>
          <w:sz w:val="22"/>
          <w:szCs w:val="22"/>
        </w:rPr>
        <w:t xml:space="preserve">Lift the processing performance of the building consent authorities; </w:t>
      </w:r>
    </w:p>
    <w:p w:rsidR="001D1E59" w:rsidRPr="0039580F" w:rsidRDefault="001D1E59" w:rsidP="0039580F">
      <w:pPr>
        <w:pStyle w:val="ListParagraph"/>
        <w:numPr>
          <w:ilvl w:val="0"/>
          <w:numId w:val="5"/>
        </w:numPr>
        <w:spacing w:line="360" w:lineRule="auto"/>
        <w:rPr>
          <w:rFonts w:cs="Arial"/>
          <w:sz w:val="22"/>
          <w:szCs w:val="22"/>
        </w:rPr>
      </w:pPr>
      <w:r w:rsidRPr="0039580F">
        <w:rPr>
          <w:rFonts w:cs="Arial"/>
          <w:sz w:val="22"/>
          <w:szCs w:val="22"/>
        </w:rPr>
        <w:t xml:space="preserve">Central government should also consider the case for reviewing planning-related legislation to reduce the cost, complexity and uncertainty associated with the interaction of the Local Government Act, the RMA and the Land Transport Management Act. </w:t>
      </w:r>
    </w:p>
    <w:p w:rsidR="001D1E59" w:rsidRPr="00D17AD7" w:rsidRDefault="001D1E59" w:rsidP="006B7B20">
      <w:pPr>
        <w:autoSpaceDE w:val="0"/>
        <w:autoSpaceDN w:val="0"/>
        <w:adjustRightInd w:val="0"/>
        <w:spacing w:line="360" w:lineRule="auto"/>
        <w:ind w:left="720"/>
      </w:pPr>
    </w:p>
    <w:p w:rsidR="001D1E59" w:rsidRPr="00D17AD7" w:rsidRDefault="001D1E59" w:rsidP="006B7B20">
      <w:pPr>
        <w:autoSpaceDE w:val="0"/>
        <w:autoSpaceDN w:val="0"/>
        <w:adjustRightInd w:val="0"/>
        <w:spacing w:line="360" w:lineRule="auto"/>
        <w:ind w:left="720"/>
      </w:pPr>
      <w:r w:rsidRPr="00D17AD7">
        <w:t>In terms of the role of territorial authorities in land development the following conclusions are noted:</w:t>
      </w:r>
    </w:p>
    <w:p w:rsidR="001D1E59" w:rsidRPr="00D17AD7" w:rsidRDefault="001D1E59" w:rsidP="0039580F">
      <w:pPr>
        <w:pStyle w:val="ListParagraph"/>
        <w:numPr>
          <w:ilvl w:val="0"/>
          <w:numId w:val="5"/>
        </w:numPr>
        <w:spacing w:line="360" w:lineRule="auto"/>
        <w:rPr>
          <w:rFonts w:cs="Arial"/>
          <w:sz w:val="22"/>
          <w:szCs w:val="22"/>
        </w:rPr>
      </w:pPr>
      <w:r w:rsidRPr="00D17AD7">
        <w:rPr>
          <w:rFonts w:cs="Arial"/>
          <w:sz w:val="22"/>
          <w:szCs w:val="22"/>
        </w:rPr>
        <w:t>Take a less constrained approach to the identification, consenting, release, and development of land for housing in the inner city, suburbs, and city edge;</w:t>
      </w:r>
    </w:p>
    <w:p w:rsidR="001D1E59" w:rsidRPr="00D17AD7" w:rsidRDefault="001D1E59" w:rsidP="0039580F">
      <w:pPr>
        <w:pStyle w:val="ListParagraph"/>
        <w:numPr>
          <w:ilvl w:val="0"/>
          <w:numId w:val="5"/>
        </w:numPr>
        <w:spacing w:line="360" w:lineRule="auto"/>
        <w:rPr>
          <w:rFonts w:cs="Arial"/>
          <w:sz w:val="22"/>
          <w:szCs w:val="22"/>
        </w:rPr>
      </w:pPr>
      <w:r w:rsidRPr="00D17AD7">
        <w:rPr>
          <w:rFonts w:cs="Arial"/>
          <w:sz w:val="22"/>
          <w:szCs w:val="22"/>
        </w:rPr>
        <w:t>Adopt a strategy that allows for both intensification within existing urban boundaries and orderly expansion beyond them; (Note: this issue is outlined in the Residential Intensification Report);</w:t>
      </w:r>
    </w:p>
    <w:p w:rsidR="001D1E59" w:rsidRPr="00D17AD7" w:rsidRDefault="001D1E59" w:rsidP="0039580F">
      <w:pPr>
        <w:pStyle w:val="ListParagraph"/>
        <w:numPr>
          <w:ilvl w:val="0"/>
          <w:numId w:val="5"/>
        </w:numPr>
        <w:spacing w:line="360" w:lineRule="auto"/>
        <w:rPr>
          <w:rFonts w:cs="Arial"/>
          <w:sz w:val="22"/>
          <w:szCs w:val="22"/>
        </w:rPr>
      </w:pPr>
      <w:r w:rsidRPr="00D17AD7">
        <w:rPr>
          <w:rFonts w:cs="Arial"/>
          <w:sz w:val="22"/>
          <w:szCs w:val="22"/>
        </w:rPr>
        <w:t>Investigate barriers to densification and consider more flexible approaches to achieve a balance between neighbourhood amenity and new development in existing suburbs;</w:t>
      </w:r>
    </w:p>
    <w:p w:rsidR="001D1E59" w:rsidRPr="00D17AD7" w:rsidRDefault="001D1E59" w:rsidP="0039580F">
      <w:pPr>
        <w:pStyle w:val="ListParagraph"/>
        <w:numPr>
          <w:ilvl w:val="0"/>
          <w:numId w:val="5"/>
        </w:numPr>
        <w:spacing w:line="360" w:lineRule="auto"/>
        <w:rPr>
          <w:rFonts w:cs="Arial"/>
          <w:sz w:val="22"/>
          <w:szCs w:val="22"/>
        </w:rPr>
      </w:pPr>
      <w:r w:rsidRPr="00D17AD7">
        <w:rPr>
          <w:rFonts w:cs="Arial"/>
          <w:sz w:val="22"/>
          <w:szCs w:val="22"/>
        </w:rPr>
        <w:t>Develop strategies that promote adequate competition between developers for the sale of construction-ready sections;</w:t>
      </w:r>
    </w:p>
    <w:p w:rsidR="001D1E59" w:rsidRPr="00D17AD7" w:rsidRDefault="001D1E59" w:rsidP="0039580F">
      <w:pPr>
        <w:pStyle w:val="ListParagraph"/>
        <w:numPr>
          <w:ilvl w:val="0"/>
          <w:numId w:val="5"/>
        </w:numPr>
        <w:spacing w:line="360" w:lineRule="auto"/>
        <w:rPr>
          <w:rFonts w:cs="Arial"/>
          <w:sz w:val="22"/>
          <w:szCs w:val="22"/>
        </w:rPr>
      </w:pPr>
      <w:r w:rsidRPr="00D17AD7">
        <w:rPr>
          <w:rFonts w:cs="Arial"/>
          <w:sz w:val="22"/>
          <w:szCs w:val="22"/>
        </w:rPr>
        <w:t>Develop guidelines and training about how to implement the guidelines and establishing a quality assurance process to help councils to implement them effectively and share the lessons from experience;</w:t>
      </w:r>
    </w:p>
    <w:p w:rsidR="001D1E59" w:rsidRPr="00D17AD7" w:rsidRDefault="001D1E59" w:rsidP="0039580F">
      <w:pPr>
        <w:pStyle w:val="ListParagraph"/>
        <w:numPr>
          <w:ilvl w:val="0"/>
          <w:numId w:val="5"/>
        </w:numPr>
        <w:spacing w:line="360" w:lineRule="auto"/>
        <w:rPr>
          <w:rFonts w:cs="Arial"/>
          <w:sz w:val="22"/>
          <w:szCs w:val="22"/>
        </w:rPr>
      </w:pPr>
      <w:r w:rsidRPr="00D17AD7">
        <w:rPr>
          <w:rFonts w:cs="Arial"/>
          <w:sz w:val="22"/>
          <w:szCs w:val="22"/>
        </w:rPr>
        <w:t>Strengthen the incentives for good practice by increasing the legal scope to challenge the way in which councils set and administer development contributions. The Commission favoured improving the scope for mediation as an initial step, with the scope to challenge in the District or Environment Court a future option that could be implemented if mediation does not deliver sufficient benefits</w:t>
      </w:r>
    </w:p>
    <w:p w:rsidR="001D1E59" w:rsidRPr="00D17AD7" w:rsidRDefault="001D1E59" w:rsidP="006B7B20">
      <w:pPr>
        <w:autoSpaceDE w:val="0"/>
        <w:autoSpaceDN w:val="0"/>
        <w:adjustRightInd w:val="0"/>
        <w:spacing w:line="360" w:lineRule="auto"/>
      </w:pPr>
    </w:p>
    <w:p w:rsidR="001D1E59" w:rsidRPr="00D17AD7" w:rsidRDefault="001D1E59" w:rsidP="006B7B20">
      <w:pPr>
        <w:autoSpaceDE w:val="0"/>
        <w:autoSpaceDN w:val="0"/>
        <w:adjustRightInd w:val="0"/>
        <w:spacing w:line="360" w:lineRule="auto"/>
        <w:ind w:left="720"/>
      </w:pPr>
      <w:r w:rsidRPr="00D17AD7">
        <w:t>SmartGrowth, Tauranga City Council, and the Housing Affordability Forum made submissions to the Productivity Commission’s inquiry report. The key points were around the lack of leadership from central government on the issue, that the issue was more complex than just releasing more land, and the lack of recognition of the true infrastructure costs related to opening up more Greenfield land supply.</w:t>
      </w:r>
    </w:p>
    <w:p w:rsidR="001D1E59" w:rsidRPr="00D17AD7" w:rsidRDefault="001D1E59" w:rsidP="006B7B20">
      <w:pPr>
        <w:autoSpaceDE w:val="0"/>
        <w:autoSpaceDN w:val="0"/>
        <w:adjustRightInd w:val="0"/>
        <w:spacing w:line="360" w:lineRule="auto"/>
        <w:ind w:left="720"/>
      </w:pPr>
    </w:p>
    <w:p w:rsidR="001D1E59" w:rsidRPr="00D17AD7" w:rsidRDefault="001D1E59" w:rsidP="006B7B20">
      <w:pPr>
        <w:autoSpaceDE w:val="0"/>
        <w:autoSpaceDN w:val="0"/>
        <w:adjustRightInd w:val="0"/>
        <w:spacing w:line="360" w:lineRule="auto"/>
        <w:ind w:left="720"/>
      </w:pPr>
      <w:r w:rsidRPr="00D17AD7">
        <w:t>The TCC submission made several fundamental points based on its experience on responding to the challenges of urban growth management. In addition to the key points above some further points were:</w:t>
      </w:r>
    </w:p>
    <w:p w:rsidR="001D1E59" w:rsidRPr="0039580F" w:rsidRDefault="001D1E59" w:rsidP="0039580F">
      <w:pPr>
        <w:pStyle w:val="ListParagraph"/>
        <w:numPr>
          <w:ilvl w:val="0"/>
          <w:numId w:val="5"/>
        </w:numPr>
        <w:spacing w:line="360" w:lineRule="auto"/>
        <w:rPr>
          <w:rFonts w:cs="Arial"/>
          <w:sz w:val="22"/>
          <w:szCs w:val="22"/>
        </w:rPr>
      </w:pPr>
      <w:r w:rsidRPr="0039580F">
        <w:rPr>
          <w:rFonts w:cs="Arial"/>
          <w:sz w:val="22"/>
          <w:szCs w:val="22"/>
        </w:rPr>
        <w:t>Releasing more land will not necessarily reduce the land price paid by developers; earmarking rural land for urban can inflate the market price for a number of reasons.</w:t>
      </w:r>
    </w:p>
    <w:p w:rsidR="001D1E59" w:rsidRPr="0039580F" w:rsidRDefault="001D1E59" w:rsidP="0039580F">
      <w:pPr>
        <w:pStyle w:val="ListParagraph"/>
        <w:numPr>
          <w:ilvl w:val="0"/>
          <w:numId w:val="5"/>
        </w:numPr>
        <w:spacing w:line="360" w:lineRule="auto"/>
        <w:rPr>
          <w:rFonts w:cs="Arial"/>
          <w:sz w:val="22"/>
          <w:szCs w:val="22"/>
        </w:rPr>
      </w:pPr>
      <w:r w:rsidRPr="0039580F">
        <w:rPr>
          <w:rFonts w:cs="Arial"/>
          <w:sz w:val="22"/>
          <w:szCs w:val="22"/>
        </w:rPr>
        <w:t>Land cost is typically only a small part of the final cost of delivering sections to the market;</w:t>
      </w:r>
    </w:p>
    <w:p w:rsidR="001D1E59" w:rsidRPr="0039580F" w:rsidRDefault="001D1E59" w:rsidP="0039580F">
      <w:pPr>
        <w:pStyle w:val="ListParagraph"/>
        <w:numPr>
          <w:ilvl w:val="0"/>
          <w:numId w:val="5"/>
        </w:numPr>
        <w:spacing w:line="360" w:lineRule="auto"/>
        <w:rPr>
          <w:rFonts w:cs="Arial"/>
          <w:sz w:val="22"/>
          <w:szCs w:val="22"/>
        </w:rPr>
      </w:pPr>
      <w:r w:rsidRPr="0039580F">
        <w:rPr>
          <w:rFonts w:cs="Arial"/>
          <w:sz w:val="22"/>
          <w:szCs w:val="22"/>
        </w:rPr>
        <w:t>TCC has already considered lower levels of service for urban infrastructure. This is not likely to be sustainable in terms of community or public health/ environmental expectations in the longer term, and the costs related to retrofitting/ upgrading are high;</w:t>
      </w:r>
    </w:p>
    <w:p w:rsidR="001D1E59" w:rsidRPr="0039580F" w:rsidRDefault="001D1E59" w:rsidP="0039580F">
      <w:pPr>
        <w:pStyle w:val="ListParagraph"/>
        <w:numPr>
          <w:ilvl w:val="0"/>
          <w:numId w:val="5"/>
        </w:numPr>
        <w:spacing w:line="360" w:lineRule="auto"/>
        <w:rPr>
          <w:rFonts w:cs="Arial"/>
          <w:sz w:val="22"/>
          <w:szCs w:val="22"/>
        </w:rPr>
      </w:pPr>
      <w:r w:rsidRPr="0039580F">
        <w:rPr>
          <w:rFonts w:cs="Arial"/>
          <w:sz w:val="22"/>
          <w:szCs w:val="22"/>
        </w:rPr>
        <w:t>Lead urban infrastructure needs to connect into and be consistent with engineering and environmental standards. There is little capacity for the private sector to fund such lead infrastructure and councils need to address the additional debt that comes with new, lead infrastructure.</w:t>
      </w:r>
    </w:p>
    <w:p w:rsidR="001D1E59" w:rsidRPr="0039580F" w:rsidRDefault="001D1E59" w:rsidP="0039580F">
      <w:pPr>
        <w:pStyle w:val="ListParagraph"/>
        <w:numPr>
          <w:ilvl w:val="0"/>
          <w:numId w:val="5"/>
        </w:numPr>
        <w:spacing w:line="360" w:lineRule="auto"/>
        <w:rPr>
          <w:rFonts w:cs="Arial"/>
          <w:sz w:val="22"/>
          <w:szCs w:val="22"/>
        </w:rPr>
      </w:pPr>
      <w:r w:rsidRPr="0039580F">
        <w:rPr>
          <w:rFonts w:cs="Arial"/>
          <w:sz w:val="22"/>
          <w:szCs w:val="22"/>
        </w:rPr>
        <w:t>A wider frame of reference to a complex issue is required including methods for increasing wages, salaries and household incomes so that the ability to pay for suitable housing is improved.</w:t>
      </w:r>
    </w:p>
    <w:p w:rsidR="001D1E59" w:rsidRPr="00D17AD7" w:rsidRDefault="001D1E59" w:rsidP="00D75974">
      <w:pPr>
        <w:autoSpaceDE w:val="0"/>
        <w:autoSpaceDN w:val="0"/>
        <w:adjustRightInd w:val="0"/>
        <w:spacing w:line="360" w:lineRule="auto"/>
        <w:ind w:left="1080"/>
      </w:pPr>
    </w:p>
    <w:p w:rsidR="001D1E59" w:rsidRPr="00D17AD7" w:rsidRDefault="001D1E59" w:rsidP="00E64F6F">
      <w:pPr>
        <w:autoSpaceDE w:val="0"/>
        <w:autoSpaceDN w:val="0"/>
        <w:adjustRightInd w:val="0"/>
        <w:spacing w:line="360" w:lineRule="auto"/>
        <w:ind w:left="770" w:hanging="770"/>
      </w:pPr>
      <w:r w:rsidRPr="00D17AD7">
        <w:tab/>
        <w:t xml:space="preserve">As noted earlier (Section 3.2) the Government has released its response to the Commission’s report and a political debate on </w:t>
      </w:r>
      <w:r w:rsidR="00827321" w:rsidRPr="00D17AD7">
        <w:t>housing affordability</w:t>
      </w:r>
      <w:r w:rsidRPr="00D17AD7">
        <w:t xml:space="preserve"> is emerging.</w:t>
      </w:r>
    </w:p>
    <w:p w:rsidR="001D1E59" w:rsidRDefault="001D1E59" w:rsidP="006B7B20">
      <w:pPr>
        <w:autoSpaceDE w:val="0"/>
        <w:autoSpaceDN w:val="0"/>
        <w:adjustRightInd w:val="0"/>
        <w:spacing w:line="360" w:lineRule="auto"/>
        <w:rPr>
          <w:rFonts w:ascii="ArialMT" w:hAnsi="ArialMT" w:cs="ArialMT"/>
        </w:rPr>
      </w:pPr>
    </w:p>
    <w:p w:rsidR="0039580F" w:rsidRDefault="0039580F" w:rsidP="00825E4B">
      <w:pPr>
        <w:ind w:firstLine="720"/>
        <w:rPr>
          <w:b/>
        </w:rPr>
      </w:pPr>
      <w:r>
        <w:rPr>
          <w:b/>
        </w:rPr>
        <w:br w:type="page"/>
      </w:r>
    </w:p>
    <w:p w:rsidR="001D1E59" w:rsidRDefault="001D1E59" w:rsidP="00825E4B">
      <w:pPr>
        <w:ind w:firstLine="720"/>
        <w:rPr>
          <w:b/>
        </w:rPr>
      </w:pPr>
      <w:r>
        <w:rPr>
          <w:b/>
        </w:rPr>
        <w:t>Hobsonville Land Company</w:t>
      </w:r>
    </w:p>
    <w:p w:rsidR="001D1E59" w:rsidRPr="00825E4B" w:rsidRDefault="001D1E59" w:rsidP="00825E4B">
      <w:pPr>
        <w:ind w:firstLine="720"/>
        <w:rPr>
          <w:b/>
        </w:rPr>
      </w:pPr>
    </w:p>
    <w:p w:rsidR="001D1E59" w:rsidRDefault="001D1E59" w:rsidP="004878D8">
      <w:pPr>
        <w:pStyle w:val="BodyText"/>
        <w:spacing w:line="360" w:lineRule="auto"/>
        <w:rPr>
          <w:lang w:val="en-NZ"/>
        </w:rPr>
      </w:pPr>
      <w:r w:rsidRPr="00AB0690">
        <w:rPr>
          <w:lang w:val="en-NZ"/>
        </w:rPr>
        <w:t>Hobsonville Land Company (HLC), a wholly-owned subsidiary of Housing NZ Corporation, is leading the planning and delivery stages of the re-development of the 167- hectare former Hobsonville airbase site in partnership with the private sector. The project will result in a community of over 10,000 people living and working at Hobsonville Point</w:t>
      </w:r>
      <w:r>
        <w:rPr>
          <w:lang w:val="en-NZ"/>
        </w:rPr>
        <w:t>.</w:t>
      </w:r>
      <w:r>
        <w:rPr>
          <w:rStyle w:val="FootnoteReference"/>
          <w:lang w:val="en-NZ"/>
        </w:rPr>
        <w:footnoteReference w:id="4"/>
      </w:r>
      <w:r>
        <w:rPr>
          <w:lang w:val="en-NZ"/>
        </w:rPr>
        <w:t xml:space="preserve">  </w:t>
      </w:r>
      <w:r w:rsidRPr="00174862">
        <w:rPr>
          <w:lang w:val="en-NZ"/>
        </w:rPr>
        <w:t>It will include two new</w:t>
      </w:r>
      <w:r>
        <w:rPr>
          <w:lang w:val="en-NZ"/>
        </w:rPr>
        <w:t xml:space="preserve"> </w:t>
      </w:r>
      <w:r w:rsidRPr="00174862">
        <w:rPr>
          <w:lang w:val="en-NZ"/>
        </w:rPr>
        <w:t>schools, employment areas, retail, community facilities and a new ferry connection to downtown</w:t>
      </w:r>
      <w:r>
        <w:rPr>
          <w:lang w:val="en-NZ"/>
        </w:rPr>
        <w:t xml:space="preserve"> </w:t>
      </w:r>
      <w:r w:rsidRPr="00174862">
        <w:rPr>
          <w:lang w:val="en-NZ"/>
        </w:rPr>
        <w:t>Auckland</w:t>
      </w:r>
      <w:r>
        <w:rPr>
          <w:lang w:val="en-NZ"/>
        </w:rPr>
        <w:t xml:space="preserve">. This project involves Housing NZ, Waitakere City Council and a number of support agencies working collaboratively to bring housing to the market. </w:t>
      </w:r>
    </w:p>
    <w:p w:rsidR="001D1E59" w:rsidRDefault="001D1E59" w:rsidP="004878D8">
      <w:pPr>
        <w:pStyle w:val="BodyText"/>
        <w:spacing w:line="360" w:lineRule="auto"/>
        <w:rPr>
          <w:lang w:val="en-NZ"/>
        </w:rPr>
      </w:pPr>
      <w:r>
        <w:rPr>
          <w:lang w:val="en-NZ"/>
        </w:rPr>
        <w:t>According to a Government announcement on Friday 16</w:t>
      </w:r>
      <w:r w:rsidRPr="00F66475">
        <w:rPr>
          <w:vertAlign w:val="superscript"/>
          <w:lang w:val="en-NZ"/>
        </w:rPr>
        <w:t>th</w:t>
      </w:r>
      <w:r>
        <w:rPr>
          <w:lang w:val="en-NZ"/>
        </w:rPr>
        <w:t xml:space="preserve"> November 2012 20% of all new houses at Hobsonville P</w:t>
      </w:r>
      <w:r w:rsidRPr="00174862">
        <w:rPr>
          <w:lang w:val="en-NZ"/>
        </w:rPr>
        <w:t xml:space="preserve">oint will be </w:t>
      </w:r>
      <w:r>
        <w:rPr>
          <w:lang w:val="en-NZ"/>
        </w:rPr>
        <w:t xml:space="preserve">sold for $485,000 or less. And of these, up to half will be priced at less than $400,000. </w:t>
      </w:r>
      <w:r w:rsidRPr="00174862">
        <w:rPr>
          <w:lang w:val="en-NZ"/>
        </w:rPr>
        <w:t>Overall the development will inc</w:t>
      </w:r>
      <w:r>
        <w:rPr>
          <w:lang w:val="en-NZ"/>
        </w:rPr>
        <w:t>lude a mix of housing choices: a</w:t>
      </w:r>
      <w:r w:rsidRPr="00174862">
        <w:rPr>
          <w:lang w:val="en-NZ"/>
        </w:rPr>
        <w:t>partments, terra</w:t>
      </w:r>
      <w:r>
        <w:rPr>
          <w:lang w:val="en-NZ"/>
        </w:rPr>
        <w:t>ce houses and stand</w:t>
      </w:r>
      <w:r w:rsidR="00827321">
        <w:rPr>
          <w:lang w:val="en-NZ"/>
        </w:rPr>
        <w:t>-</w:t>
      </w:r>
      <w:r>
        <w:rPr>
          <w:lang w:val="en-NZ"/>
        </w:rPr>
        <w:t>alone homes at different market price points. It is one way of using Government agencies and assets to deliver an affordable housing product and develop commercial solutions for other parts of Auckland.</w:t>
      </w:r>
    </w:p>
    <w:p w:rsidR="001D1E59" w:rsidRDefault="001D1E59" w:rsidP="0039580F">
      <w:pPr>
        <w:ind w:firstLine="720"/>
        <w:rPr>
          <w:b/>
        </w:rPr>
      </w:pPr>
      <w:r w:rsidRPr="0039580F">
        <w:rPr>
          <w:b/>
        </w:rPr>
        <w:t>Tamaki Redevelopment Company</w:t>
      </w:r>
    </w:p>
    <w:p w:rsidR="0039580F" w:rsidRPr="0039580F" w:rsidRDefault="0039580F" w:rsidP="0039580F">
      <w:pPr>
        <w:ind w:firstLine="720"/>
        <w:rPr>
          <w:b/>
        </w:rPr>
      </w:pPr>
    </w:p>
    <w:p w:rsidR="001D1E59" w:rsidRPr="00D17AD7" w:rsidRDefault="001D1E59" w:rsidP="00F66475">
      <w:pPr>
        <w:autoSpaceDE w:val="0"/>
        <w:autoSpaceDN w:val="0"/>
        <w:adjustRightInd w:val="0"/>
        <w:spacing w:line="360" w:lineRule="auto"/>
        <w:ind w:left="720"/>
      </w:pPr>
      <w:r w:rsidRPr="00D17AD7">
        <w:t>The Government and the Auckland Council have recently signed a Heads of Agreement to jointly form New Zealand’s first urban redevelopment company to transform Tamaki including Glen Innes, Point England and Pamure over the next 15-25 years.</w:t>
      </w:r>
    </w:p>
    <w:p w:rsidR="001D1E59" w:rsidRPr="00D17AD7" w:rsidRDefault="001D1E59" w:rsidP="00F66475">
      <w:pPr>
        <w:autoSpaceDE w:val="0"/>
        <w:autoSpaceDN w:val="0"/>
        <w:adjustRightInd w:val="0"/>
        <w:spacing w:line="360" w:lineRule="auto"/>
        <w:ind w:left="720"/>
      </w:pPr>
    </w:p>
    <w:p w:rsidR="001D1E59" w:rsidRPr="00D17AD7" w:rsidRDefault="001D1E59" w:rsidP="00F66475">
      <w:pPr>
        <w:autoSpaceDE w:val="0"/>
        <w:autoSpaceDN w:val="0"/>
        <w:adjustRightInd w:val="0"/>
        <w:spacing w:line="360" w:lineRule="auto"/>
        <w:ind w:left="720"/>
      </w:pPr>
      <w:r w:rsidRPr="00D17AD7">
        <w:t>The purpose of the Company is to bring together the right public and private partners, and resources, and authority to assist urban transformation in this part of Auckland –primarily by residential intensification. This is an example of urban renewal coordination which will be required if the Auckland Spatial Plan urban intensification  aims are to be supported. Housing stock and residential land use is to be optimised using public and private housing resources but there are no details yet on how affordable housing will be delivered. Such approaches overseas usually have an emphasis on a mix of housing typologies and price points to support a diverse community.</w:t>
      </w:r>
    </w:p>
    <w:p w:rsidR="001D1E59" w:rsidRDefault="001D1E59" w:rsidP="00F66475">
      <w:pPr>
        <w:autoSpaceDE w:val="0"/>
        <w:autoSpaceDN w:val="0"/>
        <w:adjustRightInd w:val="0"/>
        <w:spacing w:line="360" w:lineRule="auto"/>
        <w:ind w:left="720"/>
        <w:rPr>
          <w:rFonts w:ascii="ArialMT" w:hAnsi="ArialMT" w:cs="ArialMT"/>
        </w:rPr>
      </w:pPr>
    </w:p>
    <w:p w:rsidR="001D1E59" w:rsidRPr="00F61F96" w:rsidRDefault="001D1E59" w:rsidP="00F61F96">
      <w:pPr>
        <w:pStyle w:val="Heading2"/>
        <w:numPr>
          <w:ilvl w:val="0"/>
          <w:numId w:val="0"/>
        </w:numPr>
        <w:ind w:left="770" w:hanging="770"/>
        <w:rPr>
          <w:rFonts w:ascii="Arial" w:hAnsi="Arial"/>
          <w:u w:val="none"/>
        </w:rPr>
      </w:pPr>
      <w:r w:rsidRPr="00F61F96">
        <w:rPr>
          <w:rFonts w:ascii="Arial" w:hAnsi="Arial"/>
          <w:u w:val="none"/>
        </w:rPr>
        <w:t>4.3</w:t>
      </w:r>
      <w:r w:rsidRPr="00F61F96">
        <w:rPr>
          <w:rFonts w:ascii="Arial" w:hAnsi="Arial"/>
          <w:u w:val="none"/>
        </w:rPr>
        <w:tab/>
        <w:t>Building Costs</w:t>
      </w:r>
    </w:p>
    <w:p w:rsidR="001D1E59" w:rsidRDefault="001D1E59" w:rsidP="003E20DF">
      <w:pPr>
        <w:autoSpaceDE w:val="0"/>
        <w:autoSpaceDN w:val="0"/>
        <w:adjustRightInd w:val="0"/>
        <w:spacing w:line="360" w:lineRule="auto"/>
        <w:rPr>
          <w:rFonts w:ascii="ArialMT" w:hAnsi="ArialMT" w:cs="ArialMT"/>
          <w:b/>
        </w:rPr>
      </w:pPr>
    </w:p>
    <w:p w:rsidR="001D1E59" w:rsidRPr="003E20DF" w:rsidRDefault="001D1E59" w:rsidP="003E20DF">
      <w:pPr>
        <w:autoSpaceDE w:val="0"/>
        <w:autoSpaceDN w:val="0"/>
        <w:adjustRightInd w:val="0"/>
        <w:spacing w:line="360" w:lineRule="auto"/>
        <w:ind w:left="660"/>
        <w:rPr>
          <w:rFonts w:ascii="ArialMT" w:hAnsi="ArialMT" w:cs="ArialMT"/>
          <w:b/>
        </w:rPr>
      </w:pPr>
      <w:r>
        <w:rPr>
          <w:b/>
        </w:rPr>
        <w:t xml:space="preserve">Government Response to the </w:t>
      </w:r>
      <w:r w:rsidRPr="00592B80">
        <w:rPr>
          <w:b/>
        </w:rPr>
        <w:t>Productivity Co</w:t>
      </w:r>
      <w:r>
        <w:rPr>
          <w:b/>
        </w:rPr>
        <w:t>mmission Housing Affordability Inquiry Report</w:t>
      </w:r>
    </w:p>
    <w:p w:rsidR="001D1E59" w:rsidRDefault="001D1E59" w:rsidP="00882BBE">
      <w:pPr>
        <w:autoSpaceDE w:val="0"/>
        <w:autoSpaceDN w:val="0"/>
        <w:adjustRightInd w:val="0"/>
        <w:spacing w:line="360" w:lineRule="auto"/>
        <w:ind w:firstLine="660"/>
        <w:rPr>
          <w:rFonts w:ascii="ArialMT" w:hAnsi="ArialMT" w:cs="ArialMT"/>
        </w:rPr>
      </w:pPr>
    </w:p>
    <w:p w:rsidR="001D1E59" w:rsidRDefault="001D1E59" w:rsidP="003E20DF">
      <w:pPr>
        <w:autoSpaceDE w:val="0"/>
        <w:autoSpaceDN w:val="0"/>
        <w:adjustRightInd w:val="0"/>
        <w:spacing w:line="360" w:lineRule="auto"/>
        <w:ind w:left="660"/>
      </w:pPr>
      <w:r w:rsidRPr="003E20DF">
        <w:t>The Government has recently</w:t>
      </w:r>
      <w:r>
        <w:t xml:space="preserve"> released its response to the Productivity Commission recommendations. In terms of the building industry and process some of the key responses noted are:</w:t>
      </w:r>
    </w:p>
    <w:p w:rsidR="001D1E59" w:rsidRPr="00F61F96" w:rsidRDefault="001D1E59" w:rsidP="00F61F96">
      <w:pPr>
        <w:pStyle w:val="ListParagraph"/>
        <w:numPr>
          <w:ilvl w:val="0"/>
          <w:numId w:val="5"/>
        </w:numPr>
        <w:spacing w:line="360" w:lineRule="auto"/>
        <w:rPr>
          <w:rFonts w:cs="Arial"/>
          <w:sz w:val="22"/>
          <w:szCs w:val="22"/>
        </w:rPr>
      </w:pPr>
      <w:r w:rsidRPr="00F61F96">
        <w:rPr>
          <w:rFonts w:cs="Arial"/>
          <w:sz w:val="22"/>
          <w:szCs w:val="22"/>
        </w:rPr>
        <w:t>Investigate improvements in productivity of the construction sector</w:t>
      </w:r>
    </w:p>
    <w:p w:rsidR="001D1E59" w:rsidRPr="00F61F96" w:rsidRDefault="001D1E59" w:rsidP="00F61F96">
      <w:pPr>
        <w:pStyle w:val="ListParagraph"/>
        <w:numPr>
          <w:ilvl w:val="0"/>
          <w:numId w:val="5"/>
        </w:numPr>
        <w:spacing w:line="360" w:lineRule="auto"/>
        <w:rPr>
          <w:rFonts w:cs="Arial"/>
          <w:sz w:val="22"/>
          <w:szCs w:val="22"/>
        </w:rPr>
      </w:pPr>
      <w:r w:rsidRPr="00F61F96">
        <w:rPr>
          <w:rFonts w:cs="Arial"/>
          <w:sz w:val="22"/>
          <w:szCs w:val="22"/>
        </w:rPr>
        <w:t>Explore the consolidation of Building Consent Authorities</w:t>
      </w:r>
    </w:p>
    <w:p w:rsidR="001D1E59" w:rsidRPr="00F61F96" w:rsidRDefault="001D1E59" w:rsidP="00F61F96">
      <w:pPr>
        <w:pStyle w:val="ListParagraph"/>
        <w:numPr>
          <w:ilvl w:val="0"/>
          <w:numId w:val="5"/>
        </w:numPr>
        <w:spacing w:line="360" w:lineRule="auto"/>
        <w:rPr>
          <w:rFonts w:cs="Arial"/>
          <w:sz w:val="22"/>
          <w:szCs w:val="22"/>
        </w:rPr>
      </w:pPr>
      <w:r w:rsidRPr="00F61F96">
        <w:rPr>
          <w:rFonts w:cs="Arial"/>
          <w:sz w:val="22"/>
          <w:szCs w:val="22"/>
        </w:rPr>
        <w:t>A market level enquiry into the construction sector to identify barriers to improving housing affordability</w:t>
      </w:r>
    </w:p>
    <w:p w:rsidR="001D1E59" w:rsidRPr="00F61F96" w:rsidRDefault="001D1E59" w:rsidP="00F61F96">
      <w:pPr>
        <w:pStyle w:val="ListParagraph"/>
        <w:numPr>
          <w:ilvl w:val="0"/>
          <w:numId w:val="5"/>
        </w:numPr>
        <w:spacing w:line="360" w:lineRule="auto"/>
        <w:rPr>
          <w:rFonts w:cs="Arial"/>
          <w:sz w:val="22"/>
          <w:szCs w:val="22"/>
        </w:rPr>
      </w:pPr>
      <w:r w:rsidRPr="00F61F96">
        <w:rPr>
          <w:rFonts w:cs="Arial"/>
          <w:sz w:val="22"/>
          <w:szCs w:val="22"/>
        </w:rPr>
        <w:t>Review the standards system</w:t>
      </w:r>
    </w:p>
    <w:p w:rsidR="001D1E59" w:rsidRPr="00F61F96" w:rsidRDefault="001D1E59" w:rsidP="00F61F96">
      <w:pPr>
        <w:pStyle w:val="ListParagraph"/>
        <w:numPr>
          <w:ilvl w:val="0"/>
          <w:numId w:val="5"/>
        </w:numPr>
        <w:spacing w:line="360" w:lineRule="auto"/>
        <w:rPr>
          <w:rFonts w:cs="Arial"/>
          <w:sz w:val="22"/>
          <w:szCs w:val="22"/>
        </w:rPr>
      </w:pPr>
      <w:r w:rsidRPr="00F61F96">
        <w:rPr>
          <w:rFonts w:cs="Arial"/>
          <w:sz w:val="22"/>
          <w:szCs w:val="22"/>
        </w:rPr>
        <w:t>Better education and information to the building sector on materials, designs or methods that may assist  reasonable housing costs</w:t>
      </w:r>
    </w:p>
    <w:p w:rsidR="001D1E59" w:rsidRPr="00F61F96" w:rsidRDefault="001D1E59" w:rsidP="00F61F96">
      <w:pPr>
        <w:pStyle w:val="ListParagraph"/>
        <w:numPr>
          <w:ilvl w:val="0"/>
          <w:numId w:val="5"/>
        </w:numPr>
        <w:spacing w:line="360" w:lineRule="auto"/>
        <w:rPr>
          <w:rFonts w:cs="Arial"/>
          <w:sz w:val="22"/>
          <w:szCs w:val="22"/>
        </w:rPr>
      </w:pPr>
      <w:r w:rsidRPr="00F61F96">
        <w:rPr>
          <w:rFonts w:cs="Arial"/>
          <w:sz w:val="22"/>
          <w:szCs w:val="22"/>
        </w:rPr>
        <w:t>Building Act reforms and possible methods for alternative solutions</w:t>
      </w:r>
    </w:p>
    <w:p w:rsidR="001D1E59" w:rsidRPr="00F61F96" w:rsidRDefault="001D1E59" w:rsidP="00F61F96">
      <w:pPr>
        <w:pStyle w:val="ListParagraph"/>
        <w:numPr>
          <w:ilvl w:val="0"/>
          <w:numId w:val="5"/>
        </w:numPr>
        <w:spacing w:line="360" w:lineRule="auto"/>
        <w:rPr>
          <w:rFonts w:cs="Arial"/>
          <w:sz w:val="22"/>
          <w:szCs w:val="22"/>
        </w:rPr>
      </w:pPr>
      <w:r w:rsidRPr="00F61F96">
        <w:rPr>
          <w:rFonts w:cs="Arial"/>
          <w:sz w:val="22"/>
          <w:szCs w:val="22"/>
        </w:rPr>
        <w:t>Review the MultiProof building consent process to reduce barriers to implementation.</w:t>
      </w:r>
    </w:p>
    <w:p w:rsidR="001D1E59" w:rsidRPr="003E20DF" w:rsidRDefault="001D1E59" w:rsidP="00304377">
      <w:pPr>
        <w:autoSpaceDE w:val="0"/>
        <w:autoSpaceDN w:val="0"/>
        <w:adjustRightInd w:val="0"/>
        <w:spacing w:line="360" w:lineRule="auto"/>
        <w:ind w:left="1020"/>
      </w:pPr>
    </w:p>
    <w:p w:rsidR="001D1E59" w:rsidRPr="00F61F96" w:rsidRDefault="001D1E59" w:rsidP="00F61F96">
      <w:pPr>
        <w:pStyle w:val="Heading2"/>
        <w:numPr>
          <w:ilvl w:val="0"/>
          <w:numId w:val="0"/>
        </w:numPr>
        <w:ind w:left="770" w:hanging="770"/>
        <w:rPr>
          <w:rFonts w:ascii="Arial" w:hAnsi="Arial"/>
          <w:u w:val="none"/>
        </w:rPr>
      </w:pPr>
      <w:r w:rsidRPr="00F61F96">
        <w:rPr>
          <w:rFonts w:ascii="Arial" w:hAnsi="Arial"/>
          <w:u w:val="none"/>
        </w:rPr>
        <w:t>4.4</w:t>
      </w:r>
      <w:r w:rsidRPr="00F61F96">
        <w:rPr>
          <w:rFonts w:ascii="Arial" w:hAnsi="Arial"/>
          <w:u w:val="none"/>
        </w:rPr>
        <w:tab/>
        <w:t xml:space="preserve">Leadership, Ownership, Financing and Funding </w:t>
      </w:r>
    </w:p>
    <w:p w:rsidR="001D1E59" w:rsidRPr="00882BBE" w:rsidRDefault="001D1E59" w:rsidP="006B7B20">
      <w:pPr>
        <w:autoSpaceDE w:val="0"/>
        <w:autoSpaceDN w:val="0"/>
        <w:adjustRightInd w:val="0"/>
        <w:spacing w:line="360" w:lineRule="auto"/>
        <w:rPr>
          <w:rFonts w:ascii="ArialMT" w:hAnsi="ArialMT" w:cs="ArialMT"/>
          <w:b/>
        </w:rPr>
      </w:pPr>
    </w:p>
    <w:p w:rsidR="001D1E59" w:rsidRDefault="001D1E59" w:rsidP="00F61F96">
      <w:pPr>
        <w:ind w:left="720"/>
        <w:rPr>
          <w:b/>
        </w:rPr>
      </w:pPr>
      <w:r w:rsidRPr="00F61F96">
        <w:rPr>
          <w:b/>
        </w:rPr>
        <w:t>Community Land Trusts</w:t>
      </w:r>
    </w:p>
    <w:p w:rsidR="00F61F96" w:rsidRPr="00F61F96" w:rsidRDefault="00F61F96" w:rsidP="00F61F96">
      <w:pPr>
        <w:ind w:left="720"/>
        <w:rPr>
          <w:b/>
        </w:rPr>
      </w:pPr>
    </w:p>
    <w:p w:rsidR="001D1E59" w:rsidRPr="00F61F96" w:rsidRDefault="001D1E59" w:rsidP="008E3724">
      <w:pPr>
        <w:autoSpaceDE w:val="0"/>
        <w:autoSpaceDN w:val="0"/>
        <w:adjustRightInd w:val="0"/>
        <w:spacing w:line="360" w:lineRule="auto"/>
        <w:ind w:left="720"/>
      </w:pPr>
      <w:r w:rsidRPr="00F61F96">
        <w:t xml:space="preserve">The Community Land Trust (CLT) model separates two cost elements: the market price of land and the price of the house itself.  The model uses a not for profit, tax exempt entity aimed at preserving  housing affordability, promoting sound house maintenance and preventing mortgagee sales. The CLT model retains the land in perpetuity and leases land for housing.  Homes and buildings are sold to and owned by families, co-operative housing corporations, small businesses and not-for-profit organisations.  The CLT retains a first right of purchase over homes, and also controls the resale price using a resale formula in the lease.  </w:t>
      </w:r>
    </w:p>
    <w:p w:rsidR="00827321" w:rsidRPr="00F61F96" w:rsidRDefault="00827321" w:rsidP="008E3724">
      <w:pPr>
        <w:autoSpaceDE w:val="0"/>
        <w:autoSpaceDN w:val="0"/>
        <w:adjustRightInd w:val="0"/>
        <w:spacing w:line="360" w:lineRule="auto"/>
        <w:ind w:left="720"/>
      </w:pPr>
    </w:p>
    <w:p w:rsidR="001D1E59" w:rsidRPr="00F61F96" w:rsidRDefault="001D1E59" w:rsidP="008E3724">
      <w:pPr>
        <w:autoSpaceDE w:val="0"/>
        <w:autoSpaceDN w:val="0"/>
        <w:adjustRightInd w:val="0"/>
        <w:spacing w:line="360" w:lineRule="auto"/>
        <w:ind w:left="720"/>
      </w:pPr>
      <w:r w:rsidRPr="00F61F96">
        <w:t xml:space="preserve">The model also works with a </w:t>
      </w:r>
      <w:r>
        <w:t xml:space="preserve">range of supporting incentives and local government rules covering </w:t>
      </w:r>
      <w:r w:rsidRPr="00F61F96">
        <w:t>getting additional lands through gifts, contributions to affordable housing and acquiring lower priced land. The most apparent key challenge to this model is retaining consistent and affordable finance.</w:t>
      </w:r>
    </w:p>
    <w:p w:rsidR="001D1E59" w:rsidRPr="00205A71" w:rsidRDefault="001D1E59" w:rsidP="00AD4083">
      <w:pPr>
        <w:autoSpaceDE w:val="0"/>
        <w:autoSpaceDN w:val="0"/>
        <w:adjustRightInd w:val="0"/>
        <w:spacing w:line="360" w:lineRule="auto"/>
        <w:ind w:left="720"/>
        <w:rPr>
          <w:rFonts w:ascii="ArialMT" w:hAnsi="ArialMT" w:cs="ArialMT"/>
        </w:rPr>
      </w:pPr>
    </w:p>
    <w:p w:rsidR="001D1E59" w:rsidRDefault="001D1E59" w:rsidP="00AD4083">
      <w:pPr>
        <w:ind w:left="720"/>
        <w:rPr>
          <w:b/>
        </w:rPr>
      </w:pPr>
      <w:r>
        <w:rPr>
          <w:b/>
        </w:rPr>
        <w:t>CHRANZ Report on Affordable H</w:t>
      </w:r>
      <w:r w:rsidRPr="002B3E27">
        <w:rPr>
          <w:b/>
        </w:rPr>
        <w:t xml:space="preserve">ousing </w:t>
      </w:r>
      <w:r>
        <w:rPr>
          <w:b/>
        </w:rPr>
        <w:t>(</w:t>
      </w:r>
      <w:r w:rsidRPr="002B3E27">
        <w:rPr>
          <w:b/>
        </w:rPr>
        <w:t>2007</w:t>
      </w:r>
      <w:r>
        <w:rPr>
          <w:b/>
        </w:rPr>
        <w:t>)</w:t>
      </w:r>
    </w:p>
    <w:p w:rsidR="001D1E59" w:rsidRPr="002B3E27" w:rsidRDefault="001D1E59" w:rsidP="00AD4083">
      <w:pPr>
        <w:ind w:left="720"/>
        <w:rPr>
          <w:b/>
        </w:rPr>
      </w:pPr>
    </w:p>
    <w:p w:rsidR="001D1E59" w:rsidRPr="00CC1D8F" w:rsidRDefault="001D1E59" w:rsidP="00CC1D8F">
      <w:pPr>
        <w:autoSpaceDE w:val="0"/>
        <w:autoSpaceDN w:val="0"/>
        <w:adjustRightInd w:val="0"/>
        <w:spacing w:line="360" w:lineRule="auto"/>
        <w:ind w:left="720"/>
        <w:rPr>
          <w:lang w:eastAsia="en-NZ"/>
        </w:rPr>
      </w:pPr>
      <w:r w:rsidRPr="00CC1D8F">
        <w:rPr>
          <w:lang w:eastAsia="en-NZ"/>
        </w:rPr>
        <w:t xml:space="preserve">The Centre for Housing Research Aotearoa New Zealand </w:t>
      </w:r>
      <w:r>
        <w:rPr>
          <w:lang w:eastAsia="en-NZ"/>
        </w:rPr>
        <w:t>(CHRANZ) commissioned</w:t>
      </w:r>
      <w:r w:rsidRPr="00CC1D8F">
        <w:rPr>
          <w:lang w:eastAsia="en-NZ"/>
        </w:rPr>
        <w:t xml:space="preserve"> research to explore the current role of local government in </w:t>
      </w:r>
      <w:r w:rsidR="00827321" w:rsidRPr="00827321">
        <w:rPr>
          <w:lang w:eastAsia="en-NZ"/>
        </w:rPr>
        <w:t>housing affordability</w:t>
      </w:r>
      <w:r w:rsidRPr="00CC1D8F">
        <w:rPr>
          <w:lang w:eastAsia="en-NZ"/>
        </w:rPr>
        <w:t xml:space="preserve">, the potential for optimising local government’s role and activities in facilitating </w:t>
      </w:r>
      <w:r w:rsidR="00827321" w:rsidRPr="00827321">
        <w:rPr>
          <w:lang w:eastAsia="en-NZ"/>
        </w:rPr>
        <w:t>housing affordability</w:t>
      </w:r>
      <w:r w:rsidRPr="00CC1D8F">
        <w:rPr>
          <w:lang w:eastAsia="en-NZ"/>
        </w:rPr>
        <w:t>, and the barriers and challenges councils face in making home ownership and rental housing more affordable in their areas.</w:t>
      </w:r>
    </w:p>
    <w:p w:rsidR="001D1E59" w:rsidRPr="00CC1D8F" w:rsidRDefault="001D1E59" w:rsidP="00CC1D8F">
      <w:pPr>
        <w:autoSpaceDE w:val="0"/>
        <w:autoSpaceDN w:val="0"/>
        <w:adjustRightInd w:val="0"/>
        <w:spacing w:line="360" w:lineRule="auto"/>
        <w:ind w:left="720"/>
        <w:rPr>
          <w:lang w:eastAsia="en-NZ"/>
        </w:rPr>
      </w:pPr>
    </w:p>
    <w:p w:rsidR="001D1E59" w:rsidRPr="00CC1D8F" w:rsidRDefault="001D1E59" w:rsidP="00CC1D8F">
      <w:pPr>
        <w:autoSpaceDE w:val="0"/>
        <w:autoSpaceDN w:val="0"/>
        <w:adjustRightInd w:val="0"/>
        <w:spacing w:line="360" w:lineRule="auto"/>
        <w:ind w:left="720"/>
        <w:rPr>
          <w:lang w:eastAsia="en-NZ"/>
        </w:rPr>
      </w:pPr>
      <w:r>
        <w:rPr>
          <w:lang w:eastAsia="en-NZ"/>
        </w:rPr>
        <w:t xml:space="preserve">Interestingly, </w:t>
      </w:r>
      <w:r w:rsidRPr="00CC1D8F">
        <w:rPr>
          <w:lang w:eastAsia="en-NZ"/>
        </w:rPr>
        <w:t xml:space="preserve">87% of local authorities surveyed had </w:t>
      </w:r>
      <w:r>
        <w:rPr>
          <w:lang w:eastAsia="en-NZ"/>
        </w:rPr>
        <w:t xml:space="preserve">a portfolio of housing stock, most of which is rental accommodation. The report identified a </w:t>
      </w:r>
      <w:r w:rsidRPr="00CC1D8F">
        <w:rPr>
          <w:lang w:eastAsia="en-NZ"/>
        </w:rPr>
        <w:t xml:space="preserve">small number of active approaches </w:t>
      </w:r>
      <w:r>
        <w:rPr>
          <w:lang w:eastAsia="en-NZ"/>
        </w:rPr>
        <w:t xml:space="preserve">used by councils. These </w:t>
      </w:r>
      <w:r w:rsidRPr="00CC1D8F">
        <w:rPr>
          <w:lang w:eastAsia="en-NZ"/>
        </w:rPr>
        <w:t>included:</w:t>
      </w:r>
    </w:p>
    <w:p w:rsidR="001D1E59" w:rsidRPr="00CC1D8F" w:rsidRDefault="001D1E59" w:rsidP="00D17AD7">
      <w:pPr>
        <w:pStyle w:val="ListParagraph"/>
        <w:numPr>
          <w:ilvl w:val="0"/>
          <w:numId w:val="6"/>
        </w:numPr>
        <w:autoSpaceDE w:val="0"/>
        <w:autoSpaceDN w:val="0"/>
        <w:adjustRightInd w:val="0"/>
        <w:spacing w:line="360" w:lineRule="auto"/>
        <w:ind w:left="1134"/>
        <w:rPr>
          <w:sz w:val="22"/>
          <w:szCs w:val="22"/>
          <w:lang w:eastAsia="en-NZ"/>
        </w:rPr>
      </w:pPr>
      <w:r w:rsidRPr="00CC1D8F">
        <w:rPr>
          <w:sz w:val="22"/>
          <w:szCs w:val="22"/>
          <w:lang w:eastAsia="en-NZ"/>
        </w:rPr>
        <w:t>Recognition of the strategic importance of housing for economic and/or social outcomes sought in the Local Government Act.</w:t>
      </w:r>
    </w:p>
    <w:p w:rsidR="001D1E59" w:rsidRPr="00CC1D8F" w:rsidRDefault="001D1E59" w:rsidP="00D17AD7">
      <w:pPr>
        <w:pStyle w:val="ListParagraph"/>
        <w:numPr>
          <w:ilvl w:val="0"/>
          <w:numId w:val="6"/>
        </w:numPr>
        <w:autoSpaceDE w:val="0"/>
        <w:autoSpaceDN w:val="0"/>
        <w:adjustRightInd w:val="0"/>
        <w:spacing w:line="360" w:lineRule="auto"/>
        <w:ind w:left="1134"/>
        <w:rPr>
          <w:sz w:val="22"/>
          <w:szCs w:val="22"/>
          <w:lang w:eastAsia="en-NZ"/>
        </w:rPr>
      </w:pPr>
      <w:r w:rsidRPr="00CC1D8F">
        <w:rPr>
          <w:sz w:val="22"/>
          <w:szCs w:val="22"/>
          <w:lang w:eastAsia="en-NZ"/>
        </w:rPr>
        <w:t>Attempts to develop a coherent housing policy framework, and inclusion of housing in planning documents.</w:t>
      </w:r>
    </w:p>
    <w:p w:rsidR="001D1E59" w:rsidRPr="00CC1D8F" w:rsidRDefault="001D1E59" w:rsidP="00D17AD7">
      <w:pPr>
        <w:pStyle w:val="ListParagraph"/>
        <w:numPr>
          <w:ilvl w:val="0"/>
          <w:numId w:val="6"/>
        </w:numPr>
        <w:autoSpaceDE w:val="0"/>
        <w:autoSpaceDN w:val="0"/>
        <w:adjustRightInd w:val="0"/>
        <w:spacing w:line="360" w:lineRule="auto"/>
        <w:ind w:left="1134"/>
        <w:rPr>
          <w:sz w:val="22"/>
          <w:szCs w:val="22"/>
          <w:lang w:eastAsia="en-NZ"/>
        </w:rPr>
      </w:pPr>
      <w:r w:rsidRPr="00CC1D8F">
        <w:rPr>
          <w:sz w:val="22"/>
          <w:szCs w:val="22"/>
          <w:lang w:eastAsia="en-NZ"/>
        </w:rPr>
        <w:t>Development of partnerships with the private and community sectors to promote the supply of affordable housing.</w:t>
      </w:r>
    </w:p>
    <w:p w:rsidR="001D1E59" w:rsidRPr="00CC1D8F" w:rsidRDefault="001D1E59" w:rsidP="00D17AD7">
      <w:pPr>
        <w:pStyle w:val="ListParagraph"/>
        <w:numPr>
          <w:ilvl w:val="0"/>
          <w:numId w:val="6"/>
        </w:numPr>
        <w:autoSpaceDE w:val="0"/>
        <w:autoSpaceDN w:val="0"/>
        <w:adjustRightInd w:val="0"/>
        <w:spacing w:line="360" w:lineRule="auto"/>
        <w:ind w:left="1134"/>
        <w:rPr>
          <w:sz w:val="22"/>
          <w:szCs w:val="22"/>
          <w:lang w:eastAsia="en-NZ"/>
        </w:rPr>
      </w:pPr>
      <w:r w:rsidRPr="00CC1D8F">
        <w:rPr>
          <w:sz w:val="22"/>
          <w:szCs w:val="22"/>
          <w:lang w:eastAsia="en-NZ"/>
        </w:rPr>
        <w:t>Active investment of resources into housing initiatives including: grants, land banking, land swaps, land leases, rates rebate and lending.</w:t>
      </w:r>
    </w:p>
    <w:p w:rsidR="001D1E59" w:rsidRDefault="001D1E59" w:rsidP="00D17AD7">
      <w:pPr>
        <w:pStyle w:val="ListParagraph"/>
        <w:numPr>
          <w:ilvl w:val="0"/>
          <w:numId w:val="6"/>
        </w:numPr>
        <w:autoSpaceDE w:val="0"/>
        <w:autoSpaceDN w:val="0"/>
        <w:adjustRightInd w:val="0"/>
        <w:spacing w:line="360" w:lineRule="auto"/>
        <w:ind w:left="1134"/>
        <w:rPr>
          <w:sz w:val="22"/>
          <w:szCs w:val="22"/>
        </w:rPr>
      </w:pPr>
      <w:r w:rsidRPr="00CC1D8F">
        <w:rPr>
          <w:sz w:val="22"/>
          <w:szCs w:val="22"/>
          <w:lang w:eastAsia="en-NZ"/>
        </w:rPr>
        <w:t>Improved management of consenting processes and the planning of infrastructure</w:t>
      </w:r>
    </w:p>
    <w:p w:rsidR="001D1E59" w:rsidRPr="00CC1D8F" w:rsidRDefault="001D1E59" w:rsidP="00EB3E77">
      <w:pPr>
        <w:pStyle w:val="ListParagraph"/>
        <w:autoSpaceDE w:val="0"/>
        <w:autoSpaceDN w:val="0"/>
        <w:adjustRightInd w:val="0"/>
        <w:spacing w:line="360" w:lineRule="auto"/>
        <w:ind w:left="1080"/>
        <w:rPr>
          <w:sz w:val="22"/>
          <w:szCs w:val="22"/>
        </w:rPr>
      </w:pPr>
    </w:p>
    <w:p w:rsidR="001D1E59" w:rsidRDefault="001D1E59" w:rsidP="001C44AA">
      <w:pPr>
        <w:autoSpaceDE w:val="0"/>
        <w:autoSpaceDN w:val="0"/>
        <w:adjustRightInd w:val="0"/>
        <w:spacing w:line="360" w:lineRule="auto"/>
        <w:ind w:left="720"/>
        <w:rPr>
          <w:lang w:eastAsia="en-NZ"/>
        </w:rPr>
      </w:pPr>
      <w:r w:rsidRPr="00A021F8">
        <w:rPr>
          <w:lang w:eastAsia="en-NZ"/>
        </w:rPr>
        <w:t>The report observes that most council</w:t>
      </w:r>
      <w:r>
        <w:rPr>
          <w:lang w:eastAsia="en-NZ"/>
        </w:rPr>
        <w:t>’s</w:t>
      </w:r>
      <w:r w:rsidRPr="00A021F8">
        <w:rPr>
          <w:lang w:eastAsia="en-NZ"/>
        </w:rPr>
        <w:t xml:space="preserve"> have limited resources directed to addressing issues around </w:t>
      </w:r>
      <w:r w:rsidR="00827321" w:rsidRPr="00827321">
        <w:rPr>
          <w:lang w:eastAsia="en-NZ"/>
        </w:rPr>
        <w:t xml:space="preserve">housing affordability </w:t>
      </w:r>
      <w:r w:rsidRPr="00A021F8">
        <w:rPr>
          <w:lang w:eastAsia="en-NZ"/>
        </w:rPr>
        <w:t>at the policy and planning level and there are variable levels of engagement on the issue, despite it often</w:t>
      </w:r>
      <w:r>
        <w:rPr>
          <w:lang w:eastAsia="en-NZ"/>
        </w:rPr>
        <w:t xml:space="preserve"> being</w:t>
      </w:r>
      <w:r w:rsidRPr="00A021F8">
        <w:rPr>
          <w:lang w:eastAsia="en-NZ"/>
        </w:rPr>
        <w:t xml:space="preserve"> identified </w:t>
      </w:r>
      <w:r>
        <w:rPr>
          <w:lang w:eastAsia="en-NZ"/>
        </w:rPr>
        <w:t>as a social or economic wellbeing matter.</w:t>
      </w:r>
      <w:r w:rsidRPr="00A021F8">
        <w:rPr>
          <w:sz w:val="23"/>
          <w:szCs w:val="23"/>
          <w:lang w:eastAsia="en-NZ"/>
        </w:rPr>
        <w:t xml:space="preserve"> </w:t>
      </w:r>
      <w:r w:rsidRPr="00A021F8">
        <w:rPr>
          <w:lang w:eastAsia="en-NZ"/>
        </w:rPr>
        <w:t>Knowledge around the affordability impacts of core council ac</w:t>
      </w:r>
      <w:r>
        <w:rPr>
          <w:lang w:eastAsia="en-NZ"/>
        </w:rPr>
        <w:t>tivities appears to be</w:t>
      </w:r>
      <w:r w:rsidRPr="00A021F8">
        <w:rPr>
          <w:lang w:eastAsia="en-NZ"/>
        </w:rPr>
        <w:t xml:space="preserve"> limited</w:t>
      </w:r>
      <w:r>
        <w:rPr>
          <w:lang w:eastAsia="en-NZ"/>
        </w:rPr>
        <w:t>.</w:t>
      </w:r>
    </w:p>
    <w:p w:rsidR="001D1E59" w:rsidRPr="001C44AA" w:rsidRDefault="001D1E59" w:rsidP="001C44AA">
      <w:pPr>
        <w:autoSpaceDE w:val="0"/>
        <w:autoSpaceDN w:val="0"/>
        <w:adjustRightInd w:val="0"/>
        <w:spacing w:line="360" w:lineRule="auto"/>
        <w:ind w:left="720"/>
        <w:rPr>
          <w:lang w:eastAsia="en-NZ"/>
        </w:rPr>
      </w:pPr>
    </w:p>
    <w:p w:rsidR="001D1E59" w:rsidRPr="00DA1E97" w:rsidRDefault="001D1E59" w:rsidP="00DA1E97">
      <w:pPr>
        <w:autoSpaceDE w:val="0"/>
        <w:autoSpaceDN w:val="0"/>
        <w:adjustRightInd w:val="0"/>
        <w:spacing w:line="360" w:lineRule="auto"/>
        <w:ind w:left="720"/>
        <w:rPr>
          <w:lang w:eastAsia="en-NZ"/>
        </w:rPr>
      </w:pPr>
      <w:r>
        <w:rPr>
          <w:lang w:eastAsia="en-NZ"/>
        </w:rPr>
        <w:t xml:space="preserve">The Report’s literature review </w:t>
      </w:r>
      <w:r w:rsidRPr="00DA1E97">
        <w:rPr>
          <w:lang w:eastAsia="en-NZ"/>
        </w:rPr>
        <w:t xml:space="preserve">indicates that overseas local authorities use a wide range of approaches, tools, models and mechanisms, and in different combinations, to promote </w:t>
      </w:r>
      <w:r w:rsidR="00827321" w:rsidRPr="00827321">
        <w:rPr>
          <w:lang w:eastAsia="en-NZ"/>
        </w:rPr>
        <w:t>housing affordability</w:t>
      </w:r>
      <w:r w:rsidRPr="00DA1E97">
        <w:rPr>
          <w:lang w:eastAsia="en-NZ"/>
        </w:rPr>
        <w:t xml:space="preserve">. </w:t>
      </w:r>
      <w:r>
        <w:rPr>
          <w:lang w:eastAsia="en-NZ"/>
        </w:rPr>
        <w:t xml:space="preserve">They </w:t>
      </w:r>
      <w:r w:rsidRPr="00DA1E97">
        <w:rPr>
          <w:lang w:eastAsia="en-NZ"/>
        </w:rPr>
        <w:t>encompass both regulatory and non-regulatory methods. The key methods are grouped into four categories:</w:t>
      </w:r>
    </w:p>
    <w:p w:rsidR="001D1E59" w:rsidRPr="00DA1E97" w:rsidRDefault="001D1E59" w:rsidP="00F61F96">
      <w:pPr>
        <w:pStyle w:val="ListParagraph"/>
        <w:numPr>
          <w:ilvl w:val="0"/>
          <w:numId w:val="31"/>
        </w:numPr>
        <w:autoSpaceDE w:val="0"/>
        <w:autoSpaceDN w:val="0"/>
        <w:adjustRightInd w:val="0"/>
        <w:spacing w:line="360" w:lineRule="auto"/>
        <w:rPr>
          <w:sz w:val="22"/>
          <w:szCs w:val="22"/>
          <w:lang w:eastAsia="en-NZ"/>
        </w:rPr>
      </w:pPr>
      <w:r w:rsidRPr="00DA1E97">
        <w:rPr>
          <w:sz w:val="22"/>
          <w:szCs w:val="22"/>
          <w:lang w:eastAsia="en-NZ"/>
        </w:rPr>
        <w:t>Direct provision of housing stock</w:t>
      </w:r>
    </w:p>
    <w:p w:rsidR="001D1E59" w:rsidRPr="00DA1E97" w:rsidRDefault="001D1E59" w:rsidP="00F61F96">
      <w:pPr>
        <w:pStyle w:val="ListParagraph"/>
        <w:numPr>
          <w:ilvl w:val="0"/>
          <w:numId w:val="31"/>
        </w:numPr>
        <w:autoSpaceDE w:val="0"/>
        <w:autoSpaceDN w:val="0"/>
        <w:adjustRightInd w:val="0"/>
        <w:spacing w:line="360" w:lineRule="auto"/>
        <w:rPr>
          <w:sz w:val="22"/>
          <w:szCs w:val="22"/>
          <w:lang w:eastAsia="en-NZ"/>
        </w:rPr>
      </w:pPr>
      <w:r w:rsidRPr="00DA1E97">
        <w:rPr>
          <w:sz w:val="22"/>
          <w:szCs w:val="22"/>
          <w:lang w:eastAsia="en-NZ"/>
        </w:rPr>
        <w:t xml:space="preserve">Using council assets to support </w:t>
      </w:r>
      <w:r w:rsidR="00827321" w:rsidRPr="00827321">
        <w:rPr>
          <w:sz w:val="22"/>
          <w:szCs w:val="22"/>
          <w:lang w:eastAsia="en-NZ"/>
        </w:rPr>
        <w:t>housing affordability</w:t>
      </w:r>
    </w:p>
    <w:p w:rsidR="001D1E59" w:rsidRPr="00DA1E97" w:rsidRDefault="001D1E59" w:rsidP="00F61F96">
      <w:pPr>
        <w:pStyle w:val="ListParagraph"/>
        <w:numPr>
          <w:ilvl w:val="0"/>
          <w:numId w:val="31"/>
        </w:numPr>
        <w:autoSpaceDE w:val="0"/>
        <w:autoSpaceDN w:val="0"/>
        <w:adjustRightInd w:val="0"/>
        <w:spacing w:line="360" w:lineRule="auto"/>
        <w:rPr>
          <w:sz w:val="22"/>
          <w:szCs w:val="22"/>
          <w:lang w:eastAsia="en-NZ"/>
        </w:rPr>
      </w:pPr>
      <w:r w:rsidRPr="00DA1E97">
        <w:rPr>
          <w:sz w:val="22"/>
          <w:szCs w:val="22"/>
          <w:lang w:eastAsia="en-NZ"/>
        </w:rPr>
        <w:t>Funding and financing affordable housing</w:t>
      </w:r>
    </w:p>
    <w:p w:rsidR="001D1E59" w:rsidRPr="00DA1E97" w:rsidRDefault="001D1E59" w:rsidP="00F61F96">
      <w:pPr>
        <w:pStyle w:val="ListParagraph"/>
        <w:numPr>
          <w:ilvl w:val="0"/>
          <w:numId w:val="31"/>
        </w:numPr>
        <w:autoSpaceDE w:val="0"/>
        <w:autoSpaceDN w:val="0"/>
        <w:adjustRightInd w:val="0"/>
        <w:spacing w:line="360" w:lineRule="auto"/>
        <w:rPr>
          <w:sz w:val="22"/>
          <w:szCs w:val="22"/>
          <w:lang w:eastAsia="en-NZ"/>
        </w:rPr>
      </w:pPr>
      <w:r w:rsidRPr="00DA1E97">
        <w:rPr>
          <w:sz w:val="22"/>
          <w:szCs w:val="22"/>
          <w:lang w:eastAsia="en-NZ"/>
        </w:rPr>
        <w:t>Policy, planning and operations</w:t>
      </w:r>
    </w:p>
    <w:p w:rsidR="001D1E59" w:rsidRPr="00DA1E97" w:rsidRDefault="001D1E59" w:rsidP="00DA1E97">
      <w:pPr>
        <w:autoSpaceDE w:val="0"/>
        <w:autoSpaceDN w:val="0"/>
        <w:adjustRightInd w:val="0"/>
        <w:spacing w:line="360" w:lineRule="auto"/>
        <w:rPr>
          <w:lang w:eastAsia="en-NZ"/>
        </w:rPr>
      </w:pPr>
    </w:p>
    <w:p w:rsidR="001D1E59" w:rsidRPr="00DA1E97" w:rsidRDefault="001D1E59" w:rsidP="00DA1E97">
      <w:pPr>
        <w:autoSpaceDE w:val="0"/>
        <w:autoSpaceDN w:val="0"/>
        <w:adjustRightInd w:val="0"/>
        <w:spacing w:line="360" w:lineRule="auto"/>
        <w:ind w:left="720"/>
        <w:rPr>
          <w:lang w:eastAsia="en-NZ"/>
        </w:rPr>
      </w:pPr>
      <w:r w:rsidRPr="00DA1E97">
        <w:rPr>
          <w:lang w:eastAsia="en-NZ"/>
        </w:rPr>
        <w:t xml:space="preserve">Further, three common success factors </w:t>
      </w:r>
      <w:r>
        <w:rPr>
          <w:lang w:eastAsia="en-NZ"/>
        </w:rPr>
        <w:t xml:space="preserve">identified </w:t>
      </w:r>
      <w:r w:rsidRPr="00DA1E97">
        <w:rPr>
          <w:lang w:eastAsia="en-NZ"/>
        </w:rPr>
        <w:t>for local authorities involved in affordable housing are:</w:t>
      </w:r>
    </w:p>
    <w:p w:rsidR="001D1E59" w:rsidRPr="00DA1E97" w:rsidRDefault="001D1E59" w:rsidP="00F61F96">
      <w:pPr>
        <w:numPr>
          <w:ilvl w:val="0"/>
          <w:numId w:val="32"/>
        </w:numPr>
        <w:autoSpaceDE w:val="0"/>
        <w:autoSpaceDN w:val="0"/>
        <w:adjustRightInd w:val="0"/>
        <w:spacing w:line="360" w:lineRule="auto"/>
        <w:rPr>
          <w:lang w:eastAsia="en-NZ"/>
        </w:rPr>
      </w:pPr>
      <w:r w:rsidRPr="00DA1E97">
        <w:rPr>
          <w:lang w:eastAsia="en-NZ"/>
        </w:rPr>
        <w:t>Political commitment and leadership.</w:t>
      </w:r>
    </w:p>
    <w:p w:rsidR="001D1E59" w:rsidRPr="00DA1E97" w:rsidRDefault="001D1E59" w:rsidP="00F61F96">
      <w:pPr>
        <w:pStyle w:val="ListParagraph"/>
        <w:numPr>
          <w:ilvl w:val="0"/>
          <w:numId w:val="32"/>
        </w:numPr>
        <w:autoSpaceDE w:val="0"/>
        <w:autoSpaceDN w:val="0"/>
        <w:adjustRightInd w:val="0"/>
        <w:spacing w:line="360" w:lineRule="auto"/>
        <w:rPr>
          <w:sz w:val="22"/>
          <w:szCs w:val="22"/>
          <w:lang w:eastAsia="en-NZ"/>
        </w:rPr>
      </w:pPr>
      <w:r w:rsidRPr="00DA1E97">
        <w:rPr>
          <w:sz w:val="22"/>
          <w:szCs w:val="22"/>
          <w:lang w:eastAsia="en-NZ"/>
        </w:rPr>
        <w:t>Local housing strategies, policies and plans that establish affordable housing goals and implementation processes.</w:t>
      </w:r>
    </w:p>
    <w:p w:rsidR="001D1E59" w:rsidRDefault="001D1E59" w:rsidP="00F61F96">
      <w:pPr>
        <w:pStyle w:val="ListParagraph"/>
        <w:numPr>
          <w:ilvl w:val="0"/>
          <w:numId w:val="32"/>
        </w:numPr>
        <w:autoSpaceDE w:val="0"/>
        <w:autoSpaceDN w:val="0"/>
        <w:adjustRightInd w:val="0"/>
        <w:spacing w:line="360" w:lineRule="auto"/>
        <w:rPr>
          <w:sz w:val="22"/>
          <w:szCs w:val="22"/>
          <w:lang w:eastAsia="en-NZ"/>
        </w:rPr>
      </w:pPr>
      <w:r w:rsidRPr="00DA1E97">
        <w:rPr>
          <w:sz w:val="22"/>
          <w:szCs w:val="22"/>
          <w:lang w:eastAsia="en-NZ"/>
        </w:rPr>
        <w:t xml:space="preserve">Awareness of the impact of their own statutory powers and processes on the </w:t>
      </w:r>
      <w:r w:rsidR="00827321" w:rsidRPr="00827321">
        <w:rPr>
          <w:sz w:val="22"/>
          <w:szCs w:val="22"/>
          <w:lang w:eastAsia="en-NZ"/>
        </w:rPr>
        <w:t xml:space="preserve">housing affordability </w:t>
      </w:r>
      <w:r w:rsidRPr="00DA1E97">
        <w:rPr>
          <w:sz w:val="22"/>
          <w:szCs w:val="22"/>
          <w:lang w:eastAsia="en-NZ"/>
        </w:rPr>
        <w:t>and willingness to overcome regulatory and planning barriers and find enabling mechanisms.</w:t>
      </w:r>
    </w:p>
    <w:p w:rsidR="00F61F96" w:rsidRDefault="00F61F96" w:rsidP="00F61F96">
      <w:pPr>
        <w:pStyle w:val="ListParagraph"/>
        <w:autoSpaceDE w:val="0"/>
        <w:autoSpaceDN w:val="0"/>
        <w:adjustRightInd w:val="0"/>
        <w:spacing w:line="360" w:lineRule="auto"/>
        <w:ind w:left="1494"/>
        <w:rPr>
          <w:sz w:val="22"/>
          <w:szCs w:val="22"/>
          <w:lang w:eastAsia="en-NZ"/>
        </w:rPr>
      </w:pPr>
    </w:p>
    <w:bookmarkEnd w:id="11"/>
    <w:p w:rsidR="001D1E59" w:rsidRPr="002F6799" w:rsidRDefault="001D1E59" w:rsidP="00BC46AA">
      <w:pPr>
        <w:rPr>
          <w:lang w:val="en-GB"/>
        </w:rPr>
      </w:pPr>
    </w:p>
    <w:p w:rsidR="001D1E59" w:rsidRPr="002F6799" w:rsidRDefault="001D1E59" w:rsidP="00DA6C2F">
      <w:pPr>
        <w:pStyle w:val="Heading1"/>
        <w:rPr>
          <w:rFonts w:ascii="Arial" w:hAnsi="Arial"/>
        </w:rPr>
      </w:pPr>
      <w:bookmarkStart w:id="12" w:name="_Toc338427786"/>
      <w:r w:rsidRPr="002F6799">
        <w:rPr>
          <w:rFonts w:ascii="Arial" w:hAnsi="Arial"/>
        </w:rPr>
        <w:t>SMARTGROWTH UPDATE CONSIDERATIONS</w:t>
      </w:r>
      <w:bookmarkEnd w:id="12"/>
    </w:p>
    <w:p w:rsidR="001D1E59" w:rsidRPr="002F6799" w:rsidRDefault="001D1E59" w:rsidP="00F72C09">
      <w:pPr>
        <w:rPr>
          <w:lang w:val="en-GB"/>
        </w:rPr>
      </w:pPr>
    </w:p>
    <w:p w:rsidR="001D1E59" w:rsidRDefault="001D1E59" w:rsidP="00D55EB6">
      <w:pPr>
        <w:spacing w:line="360" w:lineRule="auto"/>
        <w:rPr>
          <w:b/>
          <w:lang w:val="en-GB"/>
        </w:rPr>
      </w:pPr>
      <w:r>
        <w:rPr>
          <w:b/>
          <w:lang w:val="en-GB"/>
        </w:rPr>
        <w:t>5.1</w:t>
      </w:r>
      <w:r>
        <w:rPr>
          <w:b/>
          <w:lang w:val="en-GB"/>
        </w:rPr>
        <w:tab/>
        <w:t>How can SmartGrowth Help or Influence</w:t>
      </w:r>
      <w:r w:rsidRPr="00B111D4">
        <w:rPr>
          <w:b/>
          <w:lang w:val="en-GB"/>
        </w:rPr>
        <w:t>?</w:t>
      </w:r>
    </w:p>
    <w:p w:rsidR="001D1E59" w:rsidRPr="00B111D4" w:rsidRDefault="001D1E59" w:rsidP="00D55EB6">
      <w:pPr>
        <w:spacing w:line="360" w:lineRule="auto"/>
        <w:rPr>
          <w:b/>
          <w:lang w:val="en-GB"/>
        </w:rPr>
      </w:pPr>
    </w:p>
    <w:p w:rsidR="001D1E59" w:rsidRDefault="001D1E59" w:rsidP="005803CF">
      <w:pPr>
        <w:spacing w:line="360" w:lineRule="auto"/>
        <w:ind w:left="720"/>
        <w:rPr>
          <w:lang w:val="en-GB"/>
        </w:rPr>
      </w:pPr>
      <w:r>
        <w:rPr>
          <w:lang w:val="en-GB"/>
        </w:rPr>
        <w:t xml:space="preserve">The challenges outlined already in this report and the literature review on some ways to address the issue shows the complexity of problem from a public policy perspective. One way of approaching the issue is to break it down into simple terms along the following lines; </w:t>
      </w:r>
    </w:p>
    <w:p w:rsidR="001D1E59" w:rsidRDefault="001D1E59" w:rsidP="005803CF">
      <w:pPr>
        <w:spacing w:line="360" w:lineRule="auto"/>
        <w:ind w:left="720"/>
        <w:rPr>
          <w:lang w:val="en-GB"/>
        </w:rPr>
      </w:pPr>
    </w:p>
    <w:p w:rsidR="001D1E59" w:rsidRDefault="001D1E59" w:rsidP="005803CF">
      <w:pPr>
        <w:spacing w:line="360" w:lineRule="auto"/>
        <w:ind w:left="720"/>
        <w:rPr>
          <w:lang w:val="en-GB"/>
        </w:rPr>
      </w:pPr>
      <w:r>
        <w:rPr>
          <w:lang w:val="en-GB"/>
        </w:rPr>
        <w:t>The basic proposition is; to make housing more affordable</w:t>
      </w:r>
      <w:r w:rsidR="00F61F96">
        <w:rPr>
          <w:lang w:val="en-GB"/>
        </w:rPr>
        <w:t>, either</w:t>
      </w:r>
      <w:r>
        <w:rPr>
          <w:lang w:val="en-GB"/>
        </w:rPr>
        <w:t>:</w:t>
      </w:r>
    </w:p>
    <w:p w:rsidR="001D1E59" w:rsidRPr="00D17AD7" w:rsidRDefault="00F61F96" w:rsidP="00F61F96">
      <w:pPr>
        <w:numPr>
          <w:ilvl w:val="0"/>
          <w:numId w:val="33"/>
        </w:numPr>
        <w:autoSpaceDE w:val="0"/>
        <w:autoSpaceDN w:val="0"/>
        <w:adjustRightInd w:val="0"/>
        <w:spacing w:line="360" w:lineRule="auto"/>
        <w:rPr>
          <w:lang w:eastAsia="en-NZ"/>
        </w:rPr>
      </w:pPr>
      <w:r>
        <w:rPr>
          <w:lang w:eastAsia="en-NZ"/>
        </w:rPr>
        <w:t>T</w:t>
      </w:r>
      <w:r w:rsidR="001D1E59" w:rsidRPr="00D17AD7">
        <w:rPr>
          <w:lang w:eastAsia="en-NZ"/>
        </w:rPr>
        <w:t xml:space="preserve">he cost of housing needs to be reduced, or </w:t>
      </w:r>
    </w:p>
    <w:p w:rsidR="001D1E59" w:rsidRPr="00D17AD7" w:rsidRDefault="001D1E59" w:rsidP="00F61F96">
      <w:pPr>
        <w:numPr>
          <w:ilvl w:val="0"/>
          <w:numId w:val="33"/>
        </w:numPr>
        <w:autoSpaceDE w:val="0"/>
        <w:autoSpaceDN w:val="0"/>
        <w:adjustRightInd w:val="0"/>
        <w:spacing w:line="360" w:lineRule="auto"/>
        <w:rPr>
          <w:lang w:eastAsia="en-NZ"/>
        </w:rPr>
      </w:pPr>
      <w:r w:rsidRPr="00D17AD7">
        <w:rPr>
          <w:lang w:eastAsia="en-NZ"/>
        </w:rPr>
        <w:t>Someone else needs to pay for or subsidise part of the cost through a range of economic interventions. Most of these interventions for example housing subsidies, making mortgage payment tax deductible, providing grants for first home buyers would have to be central government interventions; or</w:t>
      </w:r>
    </w:p>
    <w:p w:rsidR="001D1E59" w:rsidRPr="00D17AD7" w:rsidRDefault="001D1E59" w:rsidP="00F61F96">
      <w:pPr>
        <w:numPr>
          <w:ilvl w:val="0"/>
          <w:numId w:val="33"/>
        </w:numPr>
        <w:autoSpaceDE w:val="0"/>
        <w:autoSpaceDN w:val="0"/>
        <w:adjustRightInd w:val="0"/>
        <w:spacing w:line="360" w:lineRule="auto"/>
        <w:rPr>
          <w:lang w:eastAsia="en-NZ"/>
        </w:rPr>
      </w:pPr>
      <w:r w:rsidRPr="00D17AD7">
        <w:rPr>
          <w:lang w:eastAsia="en-NZ"/>
        </w:rPr>
        <w:t>Household incomes need to increase.</w:t>
      </w:r>
    </w:p>
    <w:p w:rsidR="001D1E59" w:rsidRDefault="001D1E59" w:rsidP="005803CF">
      <w:pPr>
        <w:spacing w:line="360" w:lineRule="auto"/>
        <w:ind w:left="720"/>
        <w:rPr>
          <w:lang w:val="en-GB"/>
        </w:rPr>
      </w:pPr>
    </w:p>
    <w:p w:rsidR="001D1E59" w:rsidRDefault="001D1E59" w:rsidP="0015717F">
      <w:pPr>
        <w:spacing w:line="360" w:lineRule="auto"/>
        <w:ind w:left="720"/>
        <w:rPr>
          <w:lang w:val="en-GB"/>
        </w:rPr>
      </w:pPr>
      <w:r>
        <w:rPr>
          <w:lang w:val="en-GB"/>
        </w:rPr>
        <w:t xml:space="preserve">There is little SmartGrowth can do directly to affect the local housing market for </w:t>
      </w:r>
      <w:r w:rsidRPr="005803CF">
        <w:rPr>
          <w:b/>
          <w:lang w:val="en-GB"/>
        </w:rPr>
        <w:t>existing</w:t>
      </w:r>
      <w:r>
        <w:rPr>
          <w:lang w:val="en-GB"/>
        </w:rPr>
        <w:t xml:space="preserve"> owned or rented houses. There may be an indirect flow-on effect if the cost of new housing can be lowered through public policy intervention, but the degree of that influence is not clear.</w:t>
      </w:r>
    </w:p>
    <w:p w:rsidR="001D1E59" w:rsidRDefault="001D1E59" w:rsidP="0015717F">
      <w:pPr>
        <w:spacing w:line="360" w:lineRule="auto"/>
        <w:ind w:left="720"/>
        <w:rPr>
          <w:lang w:val="en-GB"/>
        </w:rPr>
      </w:pPr>
    </w:p>
    <w:p w:rsidR="001D1E59" w:rsidRDefault="001D1E59" w:rsidP="0015717F">
      <w:pPr>
        <w:spacing w:line="360" w:lineRule="auto"/>
        <w:ind w:left="720"/>
        <w:rPr>
          <w:lang w:val="en-GB"/>
        </w:rPr>
      </w:pPr>
      <w:r>
        <w:rPr>
          <w:lang w:val="en-GB"/>
        </w:rPr>
        <w:t>This leads to a key question for the SmartGrowth Update project;</w:t>
      </w:r>
    </w:p>
    <w:p w:rsidR="001D1E59" w:rsidRDefault="001D1E59" w:rsidP="0015717F">
      <w:pPr>
        <w:spacing w:line="360" w:lineRule="auto"/>
        <w:ind w:left="720"/>
        <w:rPr>
          <w:lang w:val="en-GB"/>
        </w:rPr>
      </w:pPr>
    </w:p>
    <w:p w:rsidR="001D1E59" w:rsidRDefault="001D1E59" w:rsidP="0015717F">
      <w:pPr>
        <w:spacing w:line="360" w:lineRule="auto"/>
        <w:ind w:left="720"/>
        <w:rPr>
          <w:lang w:val="en-GB"/>
        </w:rPr>
      </w:pPr>
      <w:r w:rsidRPr="00167A98">
        <w:rPr>
          <w:i/>
          <w:lang w:val="en-GB"/>
        </w:rPr>
        <w:t xml:space="preserve">What role can the SmartGrowth Strategy and the SmartGrowth partners play in </w:t>
      </w:r>
      <w:r w:rsidR="00827321">
        <w:rPr>
          <w:i/>
          <w:lang w:val="en-GB"/>
        </w:rPr>
        <w:t>to promote</w:t>
      </w:r>
      <w:r w:rsidRPr="00167A98">
        <w:rPr>
          <w:i/>
          <w:lang w:val="en-GB"/>
        </w:rPr>
        <w:t xml:space="preserve"> </w:t>
      </w:r>
      <w:r w:rsidR="00827321" w:rsidRPr="00827321">
        <w:rPr>
          <w:i/>
          <w:lang w:val="en-GB"/>
        </w:rPr>
        <w:t>housing affordability</w:t>
      </w:r>
      <w:r>
        <w:rPr>
          <w:lang w:val="en-GB"/>
        </w:rPr>
        <w:t xml:space="preserve">? </w:t>
      </w:r>
    </w:p>
    <w:p w:rsidR="001D1E59" w:rsidRDefault="001D1E59" w:rsidP="0015717F">
      <w:pPr>
        <w:spacing w:line="360" w:lineRule="auto"/>
        <w:ind w:left="720"/>
        <w:rPr>
          <w:lang w:val="en-GB"/>
        </w:rPr>
      </w:pPr>
    </w:p>
    <w:p w:rsidR="001D1E59" w:rsidRDefault="001D1E59" w:rsidP="0015717F">
      <w:pPr>
        <w:spacing w:line="360" w:lineRule="auto"/>
        <w:ind w:left="720"/>
        <w:rPr>
          <w:lang w:val="en-GB"/>
        </w:rPr>
      </w:pPr>
      <w:r>
        <w:rPr>
          <w:lang w:val="en-GB"/>
        </w:rPr>
        <w:t xml:space="preserve">Or to put it another way; </w:t>
      </w:r>
    </w:p>
    <w:p w:rsidR="001D1E59" w:rsidRDefault="001D1E59" w:rsidP="0015717F">
      <w:pPr>
        <w:spacing w:line="360" w:lineRule="auto"/>
        <w:ind w:left="720"/>
        <w:rPr>
          <w:lang w:val="en-GB"/>
        </w:rPr>
      </w:pPr>
    </w:p>
    <w:p w:rsidR="001D1E59" w:rsidRPr="00167A98" w:rsidRDefault="001D1E59" w:rsidP="0015717F">
      <w:pPr>
        <w:spacing w:line="360" w:lineRule="auto"/>
        <w:ind w:left="720"/>
        <w:rPr>
          <w:i/>
          <w:lang w:val="en-GB"/>
        </w:rPr>
      </w:pPr>
      <w:r w:rsidRPr="00167A98">
        <w:rPr>
          <w:i/>
          <w:lang w:val="en-GB"/>
        </w:rPr>
        <w:t xml:space="preserve">What aspects of the </w:t>
      </w:r>
      <w:r w:rsidR="00827321" w:rsidRPr="00827321">
        <w:rPr>
          <w:i/>
          <w:lang w:val="en-GB"/>
        </w:rPr>
        <w:t>housing affordability</w:t>
      </w:r>
      <w:r w:rsidRPr="00167A98">
        <w:rPr>
          <w:i/>
          <w:lang w:val="en-GB"/>
        </w:rPr>
        <w:t xml:space="preserve"> challenge can SmartGrowth and/or the SmartGrowth partners actually have any </w:t>
      </w:r>
      <w:r w:rsidRPr="005257CE">
        <w:rPr>
          <w:i/>
          <w:u w:val="single"/>
          <w:lang w:val="en-GB"/>
        </w:rPr>
        <w:t>meaningful influence</w:t>
      </w:r>
      <w:r w:rsidRPr="00167A98">
        <w:rPr>
          <w:i/>
          <w:lang w:val="en-GB"/>
        </w:rPr>
        <w:t xml:space="preserve"> over so that new, affordable housing can be delivered?</w:t>
      </w:r>
    </w:p>
    <w:p w:rsidR="001D1E59" w:rsidRDefault="001D1E59" w:rsidP="0015717F">
      <w:pPr>
        <w:spacing w:line="360" w:lineRule="auto"/>
        <w:ind w:left="720"/>
        <w:rPr>
          <w:lang w:val="en-GB"/>
        </w:rPr>
      </w:pPr>
    </w:p>
    <w:p w:rsidR="001D1E59" w:rsidRDefault="001D1E59" w:rsidP="0015717F">
      <w:pPr>
        <w:spacing w:line="360" w:lineRule="auto"/>
        <w:ind w:left="720"/>
        <w:rPr>
          <w:lang w:val="en-GB"/>
        </w:rPr>
      </w:pPr>
      <w:r>
        <w:rPr>
          <w:lang w:val="en-GB"/>
        </w:rPr>
        <w:t xml:space="preserve">If an answer to these basic questions can be agreed that in turn informs a set of actions that can be implemented to support and/ or deliver on that role. </w:t>
      </w:r>
    </w:p>
    <w:p w:rsidR="001D1E59" w:rsidRDefault="001D1E59" w:rsidP="00167A98">
      <w:pPr>
        <w:spacing w:line="360" w:lineRule="auto"/>
        <w:ind w:left="720"/>
        <w:rPr>
          <w:lang w:val="en-GB"/>
        </w:rPr>
      </w:pPr>
    </w:p>
    <w:p w:rsidR="001D1E59" w:rsidRPr="00167A98" w:rsidRDefault="001D1E59" w:rsidP="00167A98">
      <w:pPr>
        <w:spacing w:line="360" w:lineRule="auto"/>
        <w:ind w:left="720"/>
        <w:rPr>
          <w:lang w:val="en-GB"/>
        </w:rPr>
      </w:pPr>
      <w:r>
        <w:rPr>
          <w:lang w:val="en-GB"/>
        </w:rPr>
        <w:t>Apart from a facilitative role working with others to continue to explore solutions, the direct SmartGrowth role is limited to ensuring that there is sufficient zoned land available to meet the demand for new housing (noting that there are different views on what is ‘sufficient’), and that there is effective and efficient infrastructure .</w:t>
      </w:r>
    </w:p>
    <w:p w:rsidR="001D1E59" w:rsidRPr="0012632E" w:rsidRDefault="001D1E59" w:rsidP="005803CF">
      <w:pPr>
        <w:pStyle w:val="ListParagraph"/>
        <w:spacing w:line="276" w:lineRule="auto"/>
        <w:rPr>
          <w:sz w:val="22"/>
          <w:szCs w:val="22"/>
        </w:rPr>
      </w:pPr>
    </w:p>
    <w:p w:rsidR="001D1E59" w:rsidRPr="00167A98" w:rsidRDefault="001D1E59" w:rsidP="00167A98">
      <w:pPr>
        <w:pStyle w:val="ListParagraph"/>
        <w:spacing w:line="276" w:lineRule="auto"/>
        <w:rPr>
          <w:sz w:val="22"/>
          <w:szCs w:val="22"/>
          <w:lang w:val="en-GB"/>
        </w:rPr>
      </w:pPr>
      <w:r w:rsidRPr="00167A98">
        <w:rPr>
          <w:sz w:val="22"/>
          <w:szCs w:val="22"/>
        </w:rPr>
        <w:t xml:space="preserve">There are potential partners who may take a collaborative role with SmartGrowth partners in influencing the delivery of new, affordable housing in the western Bay market. These are Housing New Zealand, Office of Treaty Settlements, Iwi Settlement entities, community housing sector and </w:t>
      </w:r>
      <w:r>
        <w:rPr>
          <w:sz w:val="22"/>
          <w:szCs w:val="22"/>
        </w:rPr>
        <w:t xml:space="preserve">the </w:t>
      </w:r>
      <w:r w:rsidRPr="00167A98">
        <w:rPr>
          <w:sz w:val="22"/>
          <w:szCs w:val="22"/>
        </w:rPr>
        <w:t xml:space="preserve">development community.  </w:t>
      </w:r>
    </w:p>
    <w:p w:rsidR="001D1E59" w:rsidRDefault="001D1E59" w:rsidP="00F5771A">
      <w:pPr>
        <w:spacing w:line="360" w:lineRule="auto"/>
        <w:rPr>
          <w:lang w:val="en-GB"/>
        </w:rPr>
      </w:pPr>
    </w:p>
    <w:p w:rsidR="001D1E59" w:rsidRDefault="001D1E59" w:rsidP="00F5771A">
      <w:pPr>
        <w:spacing w:line="360" w:lineRule="auto"/>
        <w:ind w:left="720"/>
        <w:rPr>
          <w:lang w:val="en-GB"/>
        </w:rPr>
      </w:pPr>
      <w:r>
        <w:rPr>
          <w:lang w:val="en-GB"/>
        </w:rPr>
        <w:t>To assist consideration of the complex issue and appropriate responses that SmartGrowth can potentially influence in the western Bay sub-region, three broad areas of focus are suggested for the SmartGrowth Update project:</w:t>
      </w:r>
    </w:p>
    <w:p w:rsidR="001D1E59" w:rsidRDefault="001D1E59" w:rsidP="00F5771A">
      <w:pPr>
        <w:spacing w:line="360" w:lineRule="auto"/>
        <w:ind w:left="720"/>
        <w:rPr>
          <w:lang w:val="en-GB"/>
        </w:rPr>
      </w:pPr>
    </w:p>
    <w:p w:rsidR="001D1E59" w:rsidRDefault="001D1E59" w:rsidP="00F5771A">
      <w:pPr>
        <w:spacing w:line="360" w:lineRule="auto"/>
        <w:ind w:left="720"/>
        <w:rPr>
          <w:lang w:val="en-GB"/>
        </w:rPr>
      </w:pPr>
      <w:r>
        <w:rPr>
          <w:lang w:val="en-GB"/>
        </w:rPr>
        <w:t>1. Land development (RMA subdivision and land use) costs and consent process;</w:t>
      </w:r>
    </w:p>
    <w:p w:rsidR="001D1E59" w:rsidRDefault="001D1E59" w:rsidP="00F5771A">
      <w:pPr>
        <w:spacing w:line="360" w:lineRule="auto"/>
        <w:ind w:left="720"/>
        <w:rPr>
          <w:lang w:val="en-GB"/>
        </w:rPr>
      </w:pPr>
      <w:r>
        <w:rPr>
          <w:lang w:val="en-GB"/>
        </w:rPr>
        <w:t>2. Building Costs;</w:t>
      </w:r>
    </w:p>
    <w:p w:rsidR="001D1E59" w:rsidRDefault="001D1E59" w:rsidP="00F5771A">
      <w:pPr>
        <w:ind w:left="720"/>
        <w:rPr>
          <w:lang w:val="en-GB"/>
        </w:rPr>
      </w:pPr>
      <w:r>
        <w:rPr>
          <w:lang w:val="en-GB"/>
        </w:rPr>
        <w:t>3. Leadership, ownership, financing and funding arrangements.</w:t>
      </w:r>
    </w:p>
    <w:p w:rsidR="001D1E59" w:rsidRDefault="001D1E59" w:rsidP="00F5771A">
      <w:pPr>
        <w:pStyle w:val="BodyText"/>
      </w:pPr>
    </w:p>
    <w:p w:rsidR="001D1E59" w:rsidRDefault="001D1E59" w:rsidP="00701719">
      <w:pPr>
        <w:pStyle w:val="BodyText"/>
        <w:spacing w:line="360" w:lineRule="auto"/>
      </w:pPr>
      <w:r>
        <w:t>The following table summarises the key inputs into the delivery of new houses, and is based on the development feasibility modelling undertaken for Te Tumu, Omokoroa, Te Puke and Wairakei growth areas. The likely degree of SmartGrowth partner influence is indicated.</w:t>
      </w:r>
    </w:p>
    <w:p w:rsidR="001D1E59" w:rsidRDefault="001D1E59" w:rsidP="00F5771A">
      <w:pPr>
        <w:pStyle w:val="BodyText"/>
      </w:pPr>
      <w:r>
        <w:br w:type="page"/>
      </w:r>
    </w:p>
    <w:tbl>
      <w:tblPr>
        <w:tblW w:w="0" w:type="auto"/>
        <w:tblInd w:w="878" w:type="dxa"/>
        <w:tblBorders>
          <w:top w:val="single" w:sz="4" w:space="0" w:color="auto"/>
        </w:tblBorders>
        <w:tblLook w:val="0000" w:firstRow="0" w:lastRow="0" w:firstColumn="0" w:lastColumn="0" w:noHBand="0" w:noVBand="0"/>
      </w:tblPr>
      <w:tblGrid>
        <w:gridCol w:w="6597"/>
        <w:gridCol w:w="1513"/>
      </w:tblGrid>
      <w:tr w:rsidR="001D1E59" w:rsidTr="00F5771A">
        <w:trPr>
          <w:trHeight w:val="100"/>
        </w:trPr>
        <w:tc>
          <w:tcPr>
            <w:tcW w:w="6597" w:type="dxa"/>
            <w:tcBorders>
              <w:top w:val="single" w:sz="4" w:space="0" w:color="auto"/>
              <w:right w:val="single" w:sz="4" w:space="0" w:color="auto"/>
            </w:tcBorders>
          </w:tcPr>
          <w:p w:rsidR="001D1E59" w:rsidRPr="00F5771A" w:rsidRDefault="001D1E59" w:rsidP="00F5771A">
            <w:pPr>
              <w:pStyle w:val="BodyText"/>
              <w:ind w:left="0"/>
              <w:rPr>
                <w:b/>
              </w:rPr>
            </w:pPr>
            <w:r w:rsidRPr="00F5771A">
              <w:rPr>
                <w:b/>
              </w:rPr>
              <w:t>Type of possible influence</w:t>
            </w:r>
          </w:p>
        </w:tc>
        <w:tc>
          <w:tcPr>
            <w:tcW w:w="1206" w:type="dxa"/>
            <w:tcBorders>
              <w:top w:val="single" w:sz="4" w:space="0" w:color="auto"/>
              <w:left w:val="single" w:sz="4" w:space="0" w:color="auto"/>
            </w:tcBorders>
          </w:tcPr>
          <w:p w:rsidR="001D1E59" w:rsidRPr="00F5771A" w:rsidRDefault="001D1E59" w:rsidP="00F5771A">
            <w:pPr>
              <w:pStyle w:val="BodyText"/>
              <w:ind w:left="0"/>
              <w:rPr>
                <w:b/>
              </w:rPr>
            </w:pPr>
            <w:r w:rsidRPr="00F5771A">
              <w:rPr>
                <w:b/>
              </w:rPr>
              <w:t>SG Influence?</w:t>
            </w:r>
          </w:p>
        </w:tc>
      </w:tr>
      <w:tr w:rsidR="001D1E59" w:rsidTr="007D676D">
        <w:trPr>
          <w:trHeight w:val="2679"/>
        </w:trPr>
        <w:tc>
          <w:tcPr>
            <w:tcW w:w="6597" w:type="dxa"/>
            <w:tcBorders>
              <w:bottom w:val="single" w:sz="4" w:space="0" w:color="auto"/>
              <w:right w:val="single" w:sz="4" w:space="0" w:color="auto"/>
            </w:tcBorders>
          </w:tcPr>
          <w:p w:rsidR="001D1E59" w:rsidRPr="00701719" w:rsidRDefault="001D1E59" w:rsidP="00701719">
            <w:pPr>
              <w:pStyle w:val="BodyText"/>
              <w:ind w:left="360"/>
              <w:rPr>
                <w:u w:val="single"/>
              </w:rPr>
            </w:pPr>
            <w:r w:rsidRPr="00701719">
              <w:rPr>
                <w:u w:val="single"/>
              </w:rPr>
              <w:t>Land Development</w:t>
            </w:r>
          </w:p>
          <w:p w:rsidR="001D1E59" w:rsidRDefault="001D1E59" w:rsidP="00D17AD7">
            <w:pPr>
              <w:pStyle w:val="BodyText"/>
              <w:numPr>
                <w:ilvl w:val="0"/>
                <w:numId w:val="17"/>
              </w:numPr>
            </w:pPr>
            <w:r>
              <w:t>Rezoning of land or plan change costs</w:t>
            </w:r>
          </w:p>
          <w:p w:rsidR="001D1E59" w:rsidRDefault="001D1E59" w:rsidP="00D17AD7">
            <w:pPr>
              <w:pStyle w:val="BodyText"/>
              <w:numPr>
                <w:ilvl w:val="0"/>
                <w:numId w:val="16"/>
              </w:numPr>
            </w:pPr>
            <w:r>
              <w:t>Resource consent costs and other council charges</w:t>
            </w:r>
          </w:p>
          <w:p w:rsidR="001D1E59" w:rsidRDefault="001D1E59" w:rsidP="00D17AD7">
            <w:pPr>
              <w:pStyle w:val="BodyText"/>
              <w:numPr>
                <w:ilvl w:val="0"/>
                <w:numId w:val="16"/>
              </w:numPr>
            </w:pPr>
            <w:r>
              <w:t>Development/ Financial contributions</w:t>
            </w:r>
          </w:p>
          <w:p w:rsidR="001D1E59" w:rsidRDefault="001D1E59" w:rsidP="00D17AD7">
            <w:pPr>
              <w:pStyle w:val="BodyText"/>
              <w:numPr>
                <w:ilvl w:val="0"/>
                <w:numId w:val="16"/>
              </w:numPr>
            </w:pPr>
            <w:r>
              <w:t>Land purchase cost</w:t>
            </w:r>
          </w:p>
          <w:p w:rsidR="001D1E59" w:rsidRDefault="001D1E59" w:rsidP="00701719">
            <w:pPr>
              <w:pStyle w:val="BodyText"/>
            </w:pPr>
          </w:p>
          <w:p w:rsidR="001D1E59" w:rsidRDefault="001D1E59" w:rsidP="00701719">
            <w:pPr>
              <w:pStyle w:val="BodyText"/>
            </w:pPr>
          </w:p>
          <w:p w:rsidR="001D1E59" w:rsidRDefault="001D1E59" w:rsidP="00D17AD7">
            <w:pPr>
              <w:pStyle w:val="BodyText"/>
              <w:numPr>
                <w:ilvl w:val="0"/>
                <w:numId w:val="16"/>
              </w:numPr>
            </w:pPr>
            <w:r>
              <w:t>Lot construction costs</w:t>
            </w:r>
          </w:p>
          <w:p w:rsidR="001D1E59" w:rsidRDefault="001D1E59" w:rsidP="00701719">
            <w:pPr>
              <w:pStyle w:val="BodyText"/>
            </w:pPr>
          </w:p>
          <w:p w:rsidR="001D1E59" w:rsidRDefault="001D1E59" w:rsidP="00701719">
            <w:pPr>
              <w:pStyle w:val="BodyText"/>
            </w:pPr>
          </w:p>
          <w:p w:rsidR="001D1E59" w:rsidRDefault="001D1E59" w:rsidP="00701719">
            <w:pPr>
              <w:pStyle w:val="BodyText"/>
            </w:pPr>
          </w:p>
          <w:p w:rsidR="001D1E59" w:rsidRDefault="001D1E59" w:rsidP="00D17AD7">
            <w:pPr>
              <w:pStyle w:val="BodyText"/>
              <w:numPr>
                <w:ilvl w:val="0"/>
                <w:numId w:val="16"/>
              </w:numPr>
            </w:pPr>
            <w:r>
              <w:t>Sales costs</w:t>
            </w:r>
          </w:p>
          <w:p w:rsidR="001D1E59" w:rsidRDefault="001D1E59" w:rsidP="00D17AD7">
            <w:pPr>
              <w:pStyle w:val="BodyText"/>
              <w:numPr>
                <w:ilvl w:val="0"/>
                <w:numId w:val="16"/>
              </w:numPr>
            </w:pPr>
            <w:r>
              <w:t>Development/ project management costs</w:t>
            </w:r>
          </w:p>
          <w:p w:rsidR="001D1E59" w:rsidRDefault="001D1E59" w:rsidP="00D17AD7">
            <w:pPr>
              <w:pStyle w:val="BodyText"/>
              <w:numPr>
                <w:ilvl w:val="0"/>
                <w:numId w:val="16"/>
              </w:numPr>
            </w:pPr>
            <w:r>
              <w:t>Bank/ finance costs</w:t>
            </w:r>
          </w:p>
          <w:p w:rsidR="001D1E59" w:rsidRPr="006B0A82" w:rsidRDefault="001D1E59" w:rsidP="00D17AD7">
            <w:pPr>
              <w:pStyle w:val="BodyText"/>
              <w:numPr>
                <w:ilvl w:val="0"/>
                <w:numId w:val="16"/>
              </w:numPr>
            </w:pPr>
            <w:r>
              <w:t>Profit Margins</w:t>
            </w:r>
          </w:p>
        </w:tc>
        <w:tc>
          <w:tcPr>
            <w:tcW w:w="1206" w:type="dxa"/>
            <w:tcBorders>
              <w:left w:val="single" w:sz="4" w:space="0" w:color="auto"/>
              <w:bottom w:val="single" w:sz="4" w:space="0" w:color="auto"/>
            </w:tcBorders>
          </w:tcPr>
          <w:p w:rsidR="001D1E59" w:rsidRDefault="001D1E59" w:rsidP="00F5771A">
            <w:pPr>
              <w:pStyle w:val="BodyText"/>
              <w:ind w:left="0"/>
            </w:pPr>
          </w:p>
          <w:p w:rsidR="001D1E59" w:rsidRDefault="001D1E59" w:rsidP="00F5771A">
            <w:pPr>
              <w:pStyle w:val="BodyText"/>
              <w:ind w:left="0"/>
            </w:pPr>
            <w:r>
              <w:t>Yes</w:t>
            </w:r>
          </w:p>
          <w:p w:rsidR="001D1E59" w:rsidRDefault="001D1E59" w:rsidP="00F5771A">
            <w:pPr>
              <w:pStyle w:val="BodyText"/>
              <w:ind w:left="0"/>
            </w:pPr>
            <w:r>
              <w:t>Yes</w:t>
            </w:r>
          </w:p>
          <w:p w:rsidR="001D1E59" w:rsidRDefault="001D1E59" w:rsidP="00F5771A">
            <w:pPr>
              <w:pStyle w:val="BodyText"/>
              <w:ind w:left="0"/>
            </w:pPr>
            <w:r>
              <w:t>Yes</w:t>
            </w:r>
          </w:p>
          <w:p w:rsidR="001D1E59" w:rsidRDefault="001D1E59" w:rsidP="00F5771A">
            <w:pPr>
              <w:pStyle w:val="BodyText"/>
              <w:ind w:left="0"/>
            </w:pPr>
            <w:r>
              <w:t>No, other than good land supply</w:t>
            </w:r>
          </w:p>
          <w:p w:rsidR="001D1E59" w:rsidRDefault="001D1E59" w:rsidP="00F5771A">
            <w:pPr>
              <w:pStyle w:val="BodyText"/>
              <w:ind w:left="0"/>
            </w:pPr>
          </w:p>
          <w:p w:rsidR="001D1E59" w:rsidRDefault="001D1E59" w:rsidP="00F5771A">
            <w:pPr>
              <w:pStyle w:val="BodyText"/>
              <w:ind w:left="0"/>
            </w:pPr>
            <w:r>
              <w:t>In small part, through Infrastructure Development Codes</w:t>
            </w:r>
          </w:p>
          <w:p w:rsidR="001D1E59" w:rsidRDefault="001D1E59" w:rsidP="00F5771A">
            <w:pPr>
              <w:pStyle w:val="BodyText"/>
              <w:ind w:left="0"/>
            </w:pPr>
            <w:r>
              <w:t>No</w:t>
            </w:r>
          </w:p>
          <w:p w:rsidR="001D1E59" w:rsidRDefault="001D1E59" w:rsidP="00F5771A">
            <w:pPr>
              <w:pStyle w:val="BodyText"/>
              <w:ind w:left="0"/>
            </w:pPr>
            <w:r>
              <w:t>No</w:t>
            </w:r>
          </w:p>
          <w:p w:rsidR="001D1E59" w:rsidRDefault="001D1E59" w:rsidP="00F5771A">
            <w:pPr>
              <w:pStyle w:val="BodyText"/>
              <w:ind w:left="0"/>
            </w:pPr>
            <w:r>
              <w:t>No</w:t>
            </w:r>
          </w:p>
          <w:p w:rsidR="001D1E59" w:rsidRDefault="001D1E59" w:rsidP="00F5771A">
            <w:pPr>
              <w:pStyle w:val="BodyText"/>
              <w:ind w:left="0"/>
            </w:pPr>
            <w:r>
              <w:t>No</w:t>
            </w:r>
          </w:p>
          <w:p w:rsidR="001D1E59" w:rsidRDefault="001D1E59" w:rsidP="00F5771A">
            <w:pPr>
              <w:pStyle w:val="BodyText"/>
              <w:ind w:left="0"/>
            </w:pPr>
          </w:p>
        </w:tc>
      </w:tr>
      <w:tr w:rsidR="001D1E59" w:rsidTr="007D676D">
        <w:trPr>
          <w:trHeight w:val="3215"/>
        </w:trPr>
        <w:tc>
          <w:tcPr>
            <w:tcW w:w="6597" w:type="dxa"/>
            <w:tcBorders>
              <w:top w:val="single" w:sz="4" w:space="0" w:color="auto"/>
              <w:bottom w:val="single" w:sz="4" w:space="0" w:color="auto"/>
              <w:right w:val="single" w:sz="4" w:space="0" w:color="auto"/>
            </w:tcBorders>
          </w:tcPr>
          <w:p w:rsidR="001D1E59" w:rsidRDefault="001D1E59" w:rsidP="00701719">
            <w:pPr>
              <w:pStyle w:val="BodyText"/>
            </w:pPr>
          </w:p>
          <w:p w:rsidR="001D1E59" w:rsidRDefault="001D1E59" w:rsidP="00701719">
            <w:pPr>
              <w:pStyle w:val="BodyText"/>
              <w:ind w:left="360"/>
              <w:rPr>
                <w:u w:val="single"/>
              </w:rPr>
            </w:pPr>
            <w:r w:rsidRPr="00701719">
              <w:rPr>
                <w:u w:val="single"/>
              </w:rPr>
              <w:t>Building Costs</w:t>
            </w:r>
          </w:p>
          <w:p w:rsidR="001D1E59" w:rsidRPr="00D17AD7" w:rsidRDefault="00661B51" w:rsidP="00D17AD7">
            <w:pPr>
              <w:pStyle w:val="BodyText"/>
              <w:numPr>
                <w:ilvl w:val="0"/>
                <w:numId w:val="22"/>
              </w:numPr>
            </w:pPr>
            <w:r w:rsidRPr="00D17AD7">
              <w:t>S</w:t>
            </w:r>
            <w:r w:rsidR="001D1E59" w:rsidRPr="00D17AD7">
              <w:t>ize of houses</w:t>
            </w:r>
          </w:p>
          <w:p w:rsidR="001D1E59" w:rsidRPr="00D17AD7" w:rsidRDefault="001D1E59" w:rsidP="00D17AD7">
            <w:pPr>
              <w:pStyle w:val="BodyText"/>
              <w:numPr>
                <w:ilvl w:val="0"/>
                <w:numId w:val="18"/>
              </w:numPr>
            </w:pPr>
            <w:r w:rsidRPr="00D17AD7">
              <w:t xml:space="preserve">Building consent fees </w:t>
            </w:r>
          </w:p>
          <w:p w:rsidR="001D1E59" w:rsidRPr="00D17AD7" w:rsidRDefault="001D1E59" w:rsidP="00D17AD7">
            <w:pPr>
              <w:pStyle w:val="BodyText"/>
              <w:numPr>
                <w:ilvl w:val="0"/>
                <w:numId w:val="18"/>
              </w:numPr>
            </w:pPr>
            <w:r w:rsidRPr="00D17AD7">
              <w:t>Development/ Financial contributions</w:t>
            </w:r>
          </w:p>
          <w:p w:rsidR="001D1E59" w:rsidRPr="00D17AD7" w:rsidRDefault="001D1E59" w:rsidP="00D17AD7">
            <w:pPr>
              <w:pStyle w:val="BodyText"/>
              <w:numPr>
                <w:ilvl w:val="0"/>
                <w:numId w:val="18"/>
              </w:numPr>
            </w:pPr>
            <w:r w:rsidRPr="00D17AD7">
              <w:t>Building Code Requirements/ standards</w:t>
            </w:r>
          </w:p>
          <w:p w:rsidR="001D1E59" w:rsidRPr="00D17AD7" w:rsidRDefault="001D1E59" w:rsidP="00D17AD7">
            <w:pPr>
              <w:pStyle w:val="BodyText"/>
              <w:numPr>
                <w:ilvl w:val="0"/>
                <w:numId w:val="18"/>
              </w:numPr>
            </w:pPr>
            <w:r w:rsidRPr="00D17AD7">
              <w:t>Building materials</w:t>
            </w:r>
          </w:p>
          <w:p w:rsidR="001D1E59" w:rsidRPr="00D17AD7" w:rsidRDefault="001D1E59" w:rsidP="00D17AD7">
            <w:pPr>
              <w:pStyle w:val="BodyText"/>
              <w:numPr>
                <w:ilvl w:val="0"/>
                <w:numId w:val="18"/>
              </w:numPr>
            </w:pPr>
            <w:r w:rsidRPr="00D17AD7">
              <w:t>Labour</w:t>
            </w:r>
          </w:p>
          <w:p w:rsidR="001D1E59" w:rsidRPr="00D17AD7" w:rsidRDefault="001D1E59" w:rsidP="00D17AD7">
            <w:pPr>
              <w:pStyle w:val="BodyText"/>
              <w:numPr>
                <w:ilvl w:val="0"/>
                <w:numId w:val="18"/>
              </w:numPr>
            </w:pPr>
            <w:r w:rsidRPr="00D17AD7">
              <w:t>Overheads and other related project costs</w:t>
            </w:r>
          </w:p>
          <w:p w:rsidR="001D1E59" w:rsidRPr="00D17AD7" w:rsidRDefault="001D1E59" w:rsidP="00D17AD7">
            <w:pPr>
              <w:pStyle w:val="BodyText"/>
              <w:numPr>
                <w:ilvl w:val="0"/>
                <w:numId w:val="18"/>
              </w:numPr>
            </w:pPr>
            <w:r w:rsidRPr="00D17AD7">
              <w:t>Profit margins</w:t>
            </w:r>
          </w:p>
          <w:p w:rsidR="0093208D" w:rsidRPr="00D17AD7" w:rsidRDefault="0093208D" w:rsidP="00D17AD7">
            <w:pPr>
              <w:pStyle w:val="BodyText"/>
              <w:numPr>
                <w:ilvl w:val="0"/>
                <w:numId w:val="18"/>
              </w:numPr>
            </w:pPr>
            <w:r w:rsidRPr="00D17AD7">
              <w:t>Covenants</w:t>
            </w:r>
          </w:p>
          <w:p w:rsidR="00661B51" w:rsidRPr="00D17AD7" w:rsidRDefault="00661B51" w:rsidP="00D17AD7">
            <w:pPr>
              <w:numPr>
                <w:ilvl w:val="0"/>
                <w:numId w:val="18"/>
              </w:numPr>
              <w:rPr>
                <w:lang w:val="en-GB"/>
              </w:rPr>
            </w:pPr>
            <w:r w:rsidRPr="00D17AD7">
              <w:rPr>
                <w:lang w:val="en-GB"/>
              </w:rPr>
              <w:t>Bank/ finance costs</w:t>
            </w:r>
          </w:p>
          <w:p w:rsidR="00661B51" w:rsidRPr="00FA42D5" w:rsidRDefault="00661B51" w:rsidP="00D17AD7">
            <w:pPr>
              <w:pStyle w:val="BodyText"/>
              <w:numPr>
                <w:ilvl w:val="0"/>
                <w:numId w:val="18"/>
              </w:numPr>
            </w:pPr>
            <w:r w:rsidRPr="00D17AD7">
              <w:t>Sales Costs</w:t>
            </w:r>
          </w:p>
        </w:tc>
        <w:tc>
          <w:tcPr>
            <w:tcW w:w="1206" w:type="dxa"/>
            <w:tcBorders>
              <w:top w:val="single" w:sz="4" w:space="0" w:color="auto"/>
              <w:left w:val="single" w:sz="4" w:space="0" w:color="auto"/>
              <w:bottom w:val="single" w:sz="4" w:space="0" w:color="auto"/>
            </w:tcBorders>
          </w:tcPr>
          <w:p w:rsidR="001D1E59" w:rsidRDefault="001D1E59" w:rsidP="00F5771A">
            <w:pPr>
              <w:pStyle w:val="BodyText"/>
              <w:ind w:left="0"/>
            </w:pPr>
          </w:p>
          <w:p w:rsidR="001D1E59" w:rsidRDefault="001D1E59" w:rsidP="00F5771A">
            <w:pPr>
              <w:pStyle w:val="BodyText"/>
              <w:ind w:left="0"/>
            </w:pPr>
          </w:p>
          <w:p w:rsidR="001D1E59" w:rsidRDefault="001D1E59" w:rsidP="00F5771A">
            <w:pPr>
              <w:pStyle w:val="BodyText"/>
              <w:ind w:left="0"/>
            </w:pPr>
            <w:r>
              <w:t>Yes</w:t>
            </w:r>
          </w:p>
          <w:p w:rsidR="001D1E59" w:rsidRDefault="001D1E59" w:rsidP="00F5771A">
            <w:pPr>
              <w:pStyle w:val="BodyText"/>
              <w:ind w:left="0"/>
            </w:pPr>
            <w:r>
              <w:t>Yes</w:t>
            </w:r>
          </w:p>
          <w:p w:rsidR="001D1E59" w:rsidRDefault="001D1E59" w:rsidP="00F5771A">
            <w:pPr>
              <w:pStyle w:val="BodyText"/>
              <w:ind w:left="0"/>
            </w:pPr>
            <w:r>
              <w:t>Yes</w:t>
            </w:r>
          </w:p>
          <w:p w:rsidR="001D1E59" w:rsidRDefault="001D1E59" w:rsidP="00F5771A">
            <w:pPr>
              <w:pStyle w:val="BodyText"/>
              <w:ind w:left="0"/>
            </w:pPr>
            <w:r>
              <w:t>No</w:t>
            </w:r>
          </w:p>
          <w:p w:rsidR="001D1E59" w:rsidRDefault="001D1E59" w:rsidP="00F5771A">
            <w:pPr>
              <w:pStyle w:val="BodyText"/>
              <w:ind w:left="0"/>
            </w:pPr>
            <w:r>
              <w:t>No</w:t>
            </w:r>
          </w:p>
          <w:p w:rsidR="001D1E59" w:rsidRDefault="001D1E59" w:rsidP="00F5771A">
            <w:pPr>
              <w:pStyle w:val="BodyText"/>
              <w:ind w:left="0"/>
            </w:pPr>
            <w:r>
              <w:t>No</w:t>
            </w:r>
          </w:p>
          <w:p w:rsidR="001D1E59" w:rsidRDefault="001D1E59" w:rsidP="00F5771A">
            <w:pPr>
              <w:pStyle w:val="BodyText"/>
              <w:ind w:left="0"/>
            </w:pPr>
            <w:r>
              <w:t>No</w:t>
            </w:r>
          </w:p>
          <w:p w:rsidR="001D1E59" w:rsidRDefault="001D1E59" w:rsidP="00F5771A">
            <w:pPr>
              <w:pStyle w:val="BodyText"/>
              <w:ind w:left="0"/>
            </w:pPr>
            <w:r>
              <w:t>No</w:t>
            </w:r>
          </w:p>
          <w:p w:rsidR="001D1E59" w:rsidRDefault="00661B51" w:rsidP="00F5771A">
            <w:pPr>
              <w:pStyle w:val="BodyText"/>
              <w:ind w:left="0"/>
            </w:pPr>
            <w:r w:rsidRPr="00E35AC4">
              <w:t>Indirectly</w:t>
            </w:r>
          </w:p>
          <w:p w:rsidR="00661B51" w:rsidRDefault="00661B51" w:rsidP="00F5771A">
            <w:pPr>
              <w:pStyle w:val="BodyText"/>
              <w:ind w:left="0"/>
            </w:pPr>
            <w:r>
              <w:t xml:space="preserve">No </w:t>
            </w:r>
          </w:p>
          <w:p w:rsidR="00661B51" w:rsidRDefault="00661B51" w:rsidP="00F5771A">
            <w:pPr>
              <w:pStyle w:val="BodyText"/>
              <w:ind w:left="0"/>
            </w:pPr>
            <w:r>
              <w:t>No</w:t>
            </w:r>
          </w:p>
        </w:tc>
      </w:tr>
      <w:tr w:rsidR="001D1E59" w:rsidTr="007D676D">
        <w:trPr>
          <w:trHeight w:val="1497"/>
        </w:trPr>
        <w:tc>
          <w:tcPr>
            <w:tcW w:w="6597" w:type="dxa"/>
            <w:tcBorders>
              <w:top w:val="single" w:sz="4" w:space="0" w:color="auto"/>
              <w:right w:val="single" w:sz="4" w:space="0" w:color="auto"/>
            </w:tcBorders>
          </w:tcPr>
          <w:p w:rsidR="001D1E59" w:rsidRDefault="001D1E59" w:rsidP="007E0088">
            <w:pPr>
              <w:pStyle w:val="BodyText"/>
              <w:ind w:left="360"/>
              <w:rPr>
                <w:u w:val="single"/>
              </w:rPr>
            </w:pPr>
            <w:r w:rsidRPr="006B0A82">
              <w:rPr>
                <w:u w:val="single"/>
              </w:rPr>
              <w:t>Leadership, ownership, financing and funding arrangements</w:t>
            </w:r>
          </w:p>
          <w:p w:rsidR="001D1E59" w:rsidRDefault="001D1E59" w:rsidP="00D17AD7">
            <w:pPr>
              <w:pStyle w:val="BodyText"/>
              <w:numPr>
                <w:ilvl w:val="0"/>
                <w:numId w:val="19"/>
              </w:numPr>
            </w:pPr>
            <w:r w:rsidRPr="006B0A82">
              <w:t>Likely to be only an indirect influence unless a financial</w:t>
            </w:r>
            <w:r>
              <w:t xml:space="preserve"> subsidy or incentive is provided to the market</w:t>
            </w:r>
            <w:r w:rsidRPr="006B0A82">
              <w:t xml:space="preserve"> </w:t>
            </w:r>
          </w:p>
          <w:p w:rsidR="001D1E59" w:rsidRDefault="001D1E59" w:rsidP="00D17AD7">
            <w:pPr>
              <w:pStyle w:val="BodyText"/>
              <w:numPr>
                <w:ilvl w:val="0"/>
                <w:numId w:val="19"/>
              </w:numPr>
            </w:pPr>
            <w:r>
              <w:t>Explore housing ownership models</w:t>
            </w:r>
          </w:p>
          <w:p w:rsidR="001D1E59" w:rsidRDefault="001D1E59" w:rsidP="00D17AD7">
            <w:pPr>
              <w:pStyle w:val="BodyText"/>
              <w:numPr>
                <w:ilvl w:val="0"/>
                <w:numId w:val="19"/>
              </w:numPr>
            </w:pPr>
            <w:r>
              <w:t>Explore joint ventures and/or public private partnerships</w:t>
            </w:r>
          </w:p>
          <w:p w:rsidR="001D1E59" w:rsidRDefault="001D1E59" w:rsidP="00D17AD7">
            <w:pPr>
              <w:pStyle w:val="BodyText"/>
              <w:numPr>
                <w:ilvl w:val="0"/>
                <w:numId w:val="19"/>
              </w:numPr>
            </w:pPr>
            <w:r>
              <w:t>Support education, research and raising awareness</w:t>
            </w:r>
          </w:p>
          <w:p w:rsidR="001D1E59" w:rsidRDefault="001D1E59" w:rsidP="00D17AD7">
            <w:pPr>
              <w:pStyle w:val="BodyText"/>
              <w:numPr>
                <w:ilvl w:val="0"/>
                <w:numId w:val="19"/>
              </w:numPr>
            </w:pPr>
            <w:r>
              <w:t>Support Maori housing initiatives</w:t>
            </w:r>
          </w:p>
        </w:tc>
        <w:tc>
          <w:tcPr>
            <w:tcW w:w="1206" w:type="dxa"/>
            <w:tcBorders>
              <w:top w:val="single" w:sz="4" w:space="0" w:color="auto"/>
              <w:left w:val="single" w:sz="4" w:space="0" w:color="auto"/>
            </w:tcBorders>
          </w:tcPr>
          <w:p w:rsidR="001D1E59" w:rsidRDefault="001D1E59" w:rsidP="00F5771A">
            <w:pPr>
              <w:pStyle w:val="BodyText"/>
              <w:ind w:left="0"/>
            </w:pPr>
          </w:p>
          <w:p w:rsidR="001D1E59" w:rsidRDefault="001D1E59" w:rsidP="00F5771A">
            <w:pPr>
              <w:pStyle w:val="BodyText"/>
              <w:ind w:left="0"/>
            </w:pPr>
          </w:p>
          <w:p w:rsidR="001D1E59" w:rsidRDefault="001D1E59" w:rsidP="00F5771A">
            <w:pPr>
              <w:pStyle w:val="BodyText"/>
              <w:ind w:left="0"/>
            </w:pPr>
          </w:p>
          <w:p w:rsidR="001D1E59" w:rsidRDefault="001D1E59" w:rsidP="00F5771A">
            <w:pPr>
              <w:pStyle w:val="BodyText"/>
              <w:ind w:left="0"/>
            </w:pPr>
            <w:r>
              <w:t>Yes</w:t>
            </w:r>
          </w:p>
          <w:p w:rsidR="001D1E59" w:rsidRDefault="001D1E59" w:rsidP="00F5771A">
            <w:pPr>
              <w:pStyle w:val="BodyText"/>
              <w:ind w:left="0"/>
            </w:pPr>
            <w:r>
              <w:t>Yes</w:t>
            </w:r>
          </w:p>
          <w:p w:rsidR="001D1E59" w:rsidRDefault="001D1E59" w:rsidP="00F5771A">
            <w:pPr>
              <w:pStyle w:val="BodyText"/>
              <w:ind w:left="0"/>
            </w:pPr>
            <w:r>
              <w:t>Yes</w:t>
            </w:r>
          </w:p>
          <w:p w:rsidR="001D1E59" w:rsidRDefault="001D1E59" w:rsidP="00F5771A">
            <w:pPr>
              <w:pStyle w:val="BodyText"/>
              <w:ind w:left="0"/>
            </w:pPr>
            <w:r>
              <w:t>Yes</w:t>
            </w:r>
          </w:p>
        </w:tc>
      </w:tr>
    </w:tbl>
    <w:p w:rsidR="001D1E59" w:rsidRDefault="001D1E59" w:rsidP="00F5771A">
      <w:pPr>
        <w:pStyle w:val="BodyText"/>
      </w:pPr>
    </w:p>
    <w:p w:rsidR="001D1E59" w:rsidRDefault="001D1E59" w:rsidP="007E0088">
      <w:pPr>
        <w:pStyle w:val="BodyText"/>
        <w:spacing w:line="360" w:lineRule="auto"/>
      </w:pPr>
      <w:r>
        <w:t>Several conclusions can be drawn from the table and the earlier feasibility modelling work;</w:t>
      </w:r>
    </w:p>
    <w:p w:rsidR="001D1E59" w:rsidRDefault="001D1E59" w:rsidP="00D17AD7">
      <w:pPr>
        <w:numPr>
          <w:ilvl w:val="0"/>
          <w:numId w:val="7"/>
        </w:numPr>
        <w:autoSpaceDE w:val="0"/>
        <w:autoSpaceDN w:val="0"/>
        <w:adjustRightInd w:val="0"/>
        <w:spacing w:line="360" w:lineRule="auto"/>
        <w:ind w:left="1134"/>
        <w:rPr>
          <w:lang w:eastAsia="en-NZ"/>
        </w:rPr>
      </w:pPr>
      <w:r>
        <w:rPr>
          <w:lang w:eastAsia="en-NZ"/>
        </w:rPr>
        <w:t>Most of the land development costs are outside the influence of SmartGrowth. The strongest influence on subdivision costs (say 25-30%) will be mainly development/ financial contributions. Even when there is a good supply of zoned land for residential development (as is the case in the western Bay of Plenty) the need to recover infrastructure costs provided by public agencies is a direct influence.</w:t>
      </w:r>
    </w:p>
    <w:p w:rsidR="001D1E59" w:rsidRDefault="001D1E59" w:rsidP="00D17AD7">
      <w:pPr>
        <w:numPr>
          <w:ilvl w:val="0"/>
          <w:numId w:val="7"/>
        </w:numPr>
        <w:autoSpaceDE w:val="0"/>
        <w:autoSpaceDN w:val="0"/>
        <w:adjustRightInd w:val="0"/>
        <w:spacing w:line="360" w:lineRule="auto"/>
        <w:ind w:left="1134"/>
        <w:rPr>
          <w:lang w:eastAsia="en-NZ"/>
        </w:rPr>
      </w:pPr>
      <w:r>
        <w:rPr>
          <w:lang w:eastAsia="en-NZ"/>
        </w:rPr>
        <w:t>Almost all of the building costs are not influenced by SmartGrowth. For example the feasibility work indicates that the building cost in Tauranga City for a ‘typical’ house including the Council’s City-wide infrastructure contribution is only around 5% +/- of the build cost.</w:t>
      </w:r>
    </w:p>
    <w:p w:rsidR="001D1E59" w:rsidRDefault="001D1E59" w:rsidP="00F61F96">
      <w:pPr>
        <w:numPr>
          <w:ilvl w:val="0"/>
          <w:numId w:val="7"/>
        </w:numPr>
        <w:autoSpaceDE w:val="0"/>
        <w:autoSpaceDN w:val="0"/>
        <w:adjustRightInd w:val="0"/>
        <w:spacing w:line="360" w:lineRule="auto"/>
        <w:ind w:left="1134"/>
        <w:rPr>
          <w:lang w:eastAsia="en-NZ"/>
        </w:rPr>
      </w:pPr>
      <w:r>
        <w:rPr>
          <w:lang w:eastAsia="en-NZ"/>
        </w:rPr>
        <w:t xml:space="preserve">Planning provisions may have some influence on what type/ size of house is built on a section and that may influence cost; e.g. allow smaller sections to enable smaller house size </w:t>
      </w:r>
    </w:p>
    <w:p w:rsidR="00F61F96" w:rsidRPr="00F5771A" w:rsidRDefault="00F61F96" w:rsidP="00F61F96">
      <w:pPr>
        <w:autoSpaceDE w:val="0"/>
        <w:autoSpaceDN w:val="0"/>
        <w:adjustRightInd w:val="0"/>
        <w:spacing w:line="360" w:lineRule="auto"/>
        <w:ind w:left="1134"/>
        <w:rPr>
          <w:lang w:eastAsia="en-NZ"/>
        </w:rPr>
      </w:pPr>
    </w:p>
    <w:p w:rsidR="001D1E59" w:rsidRPr="00CC1BD7" w:rsidRDefault="001D1E59" w:rsidP="00CC1BD7">
      <w:pPr>
        <w:spacing w:line="360" w:lineRule="auto"/>
        <w:rPr>
          <w:b/>
          <w:lang w:val="en-GB"/>
        </w:rPr>
      </w:pPr>
      <w:bookmarkStart w:id="13" w:name="_Toc338427787"/>
      <w:r w:rsidRPr="00CC1BD7">
        <w:rPr>
          <w:b/>
          <w:lang w:val="en-GB"/>
        </w:rPr>
        <w:t xml:space="preserve">5.2 </w:t>
      </w:r>
      <w:r>
        <w:rPr>
          <w:b/>
          <w:lang w:val="en-GB"/>
        </w:rPr>
        <w:tab/>
      </w:r>
      <w:r w:rsidRPr="00CC1BD7">
        <w:rPr>
          <w:b/>
          <w:lang w:val="en-GB"/>
        </w:rPr>
        <w:t xml:space="preserve">Possible Actions for the SmartGrowth Update </w:t>
      </w:r>
    </w:p>
    <w:p w:rsidR="001D1E59" w:rsidRDefault="001D1E59" w:rsidP="005257CE">
      <w:pPr>
        <w:pStyle w:val="Heading2"/>
        <w:numPr>
          <w:ilvl w:val="0"/>
          <w:numId w:val="0"/>
        </w:numPr>
        <w:rPr>
          <w:rFonts w:ascii="Arial" w:hAnsi="Arial"/>
        </w:rPr>
      </w:pPr>
    </w:p>
    <w:p w:rsidR="001D1E59" w:rsidRDefault="001D1E59" w:rsidP="00D17AD7">
      <w:pPr>
        <w:pStyle w:val="BodyText"/>
        <w:numPr>
          <w:ilvl w:val="0"/>
          <w:numId w:val="23"/>
        </w:numPr>
        <w:rPr>
          <w:b/>
          <w:u w:val="single"/>
          <w:lang w:val="en-NZ"/>
        </w:rPr>
      </w:pPr>
      <w:r w:rsidRPr="00BB7A58">
        <w:rPr>
          <w:b/>
          <w:u w:val="single"/>
          <w:lang w:val="en-NZ"/>
        </w:rPr>
        <w:t>Land Development</w:t>
      </w:r>
    </w:p>
    <w:p w:rsidR="001D1E59" w:rsidRDefault="001D1E59" w:rsidP="00BB7A58">
      <w:pPr>
        <w:pStyle w:val="Heading2"/>
        <w:numPr>
          <w:ilvl w:val="0"/>
          <w:numId w:val="0"/>
        </w:numPr>
        <w:spacing w:line="360" w:lineRule="auto"/>
        <w:ind w:left="720"/>
      </w:pPr>
    </w:p>
    <w:p w:rsidR="001D1E59" w:rsidRPr="00F34649" w:rsidRDefault="001D1E59" w:rsidP="00BB7A58">
      <w:pPr>
        <w:pStyle w:val="Heading2"/>
        <w:numPr>
          <w:ilvl w:val="0"/>
          <w:numId w:val="0"/>
        </w:numPr>
        <w:spacing w:line="360" w:lineRule="auto"/>
        <w:ind w:left="720"/>
        <w:rPr>
          <w:rFonts w:ascii="Arial" w:hAnsi="Arial"/>
          <w:u w:val="none"/>
        </w:rPr>
      </w:pPr>
      <w:r w:rsidRPr="00F34649">
        <w:rPr>
          <w:u w:val="none"/>
        </w:rPr>
        <w:t>Additional Residential Land Supply</w:t>
      </w:r>
    </w:p>
    <w:p w:rsidR="001D1E59" w:rsidRDefault="001D1E59" w:rsidP="00BB7A58">
      <w:pPr>
        <w:spacing w:after="200" w:line="360" w:lineRule="auto"/>
        <w:ind w:left="720"/>
      </w:pPr>
      <w:r w:rsidRPr="002F6799">
        <w:t>The Productivity Commission criticised urban containment pol</w:t>
      </w:r>
      <w:r>
        <w:t xml:space="preserve">icies such as </w:t>
      </w:r>
      <w:r w:rsidR="00F61F96">
        <w:t xml:space="preserve">the urban limits associated with the </w:t>
      </w:r>
      <w:r>
        <w:t>SmartGrowth</w:t>
      </w:r>
      <w:r w:rsidRPr="002F6799">
        <w:t xml:space="preserve"> </w:t>
      </w:r>
      <w:r w:rsidR="00F61F96">
        <w:t xml:space="preserve">Settlement Pattern, </w:t>
      </w:r>
      <w:r w:rsidRPr="002F6799">
        <w:t xml:space="preserve">for constraining land availability.  SmartGrowth </w:t>
      </w:r>
      <w:r>
        <w:t xml:space="preserve">is predicated on providing a good supply of residential land within a defined urban limits line that takes other values into account. The SmartGrowth Update Report </w:t>
      </w:r>
      <w:r w:rsidRPr="00F54520">
        <w:rPr>
          <w:i/>
        </w:rPr>
        <w:t xml:space="preserve">Review of Identified Residential Urban Growth Areas </w:t>
      </w:r>
      <w:r>
        <w:t>(November 2012) highlights the estimated 30 years plus supply of identified ur</w:t>
      </w:r>
      <w:r w:rsidR="00F61F96">
        <w:t>ban land across the sub-region (</w:t>
      </w:r>
      <w:r>
        <w:t>at current uptake rates</w:t>
      </w:r>
      <w:r w:rsidR="00F61F96">
        <w:t>)</w:t>
      </w:r>
      <w:r>
        <w:t>. There are also infrastructure efficiency challenges that influence land supply decision making.</w:t>
      </w:r>
    </w:p>
    <w:p w:rsidR="001D1E59" w:rsidRDefault="001D1E59" w:rsidP="00BB7A58">
      <w:pPr>
        <w:pStyle w:val="BodyText"/>
        <w:spacing w:line="360" w:lineRule="auto"/>
      </w:pPr>
      <w:r>
        <w:t>In policy terms there is potential for SmartGrowth partners to reconsider the assumed timing and/or quality of urban land release to the market (compared to the current assumptions). Treaty Settlement lands might also be considered as part of a land supply mix. Zoning land for a specific housing</w:t>
      </w:r>
      <w:r w:rsidR="00661B51">
        <w:t xml:space="preserve"> affordability</w:t>
      </w:r>
      <w:r>
        <w:t xml:space="preserve"> scheme might be another possible method. But in the end, opening up land supply comes at a significant cost to Council to fund bulk infrastructure and that flows into the development contributions and market price. </w:t>
      </w:r>
    </w:p>
    <w:p w:rsidR="00F61F96" w:rsidRDefault="00F61F96" w:rsidP="00BB7A58">
      <w:pPr>
        <w:pStyle w:val="BodyText"/>
        <w:spacing w:line="360" w:lineRule="auto"/>
      </w:pPr>
    </w:p>
    <w:p w:rsidR="001D1E59" w:rsidRDefault="001D1E59" w:rsidP="00BB7A58">
      <w:pPr>
        <w:pStyle w:val="BodyText"/>
        <w:spacing w:line="360" w:lineRule="auto"/>
      </w:pPr>
      <w:r>
        <w:t>Recent research on the feasibility of delivering housing at Omokoroa, Te Puke and Wairakei also indicates that there are challenges in delivering housing to these new, Greenfield urban growth areas to the market at an affordable price point under current market conditions. The important point is that SmartGrowth partners are proactive in reviewing their development contributions, infrastructure levels of service and engaging in conversation with the development sector to respond to these types of challenges and exercise prudent financial management.</w:t>
      </w:r>
    </w:p>
    <w:p w:rsidR="001D1E59" w:rsidRPr="00E35AC4" w:rsidRDefault="001D1E59" w:rsidP="00E35AC4">
      <w:pPr>
        <w:pStyle w:val="BodyText"/>
        <w:spacing w:line="360" w:lineRule="auto"/>
        <w:rPr>
          <w:b/>
          <w:lang w:val="en-NZ"/>
        </w:rPr>
      </w:pPr>
      <w:r w:rsidRPr="00E35AC4">
        <w:rPr>
          <w:b/>
          <w:lang w:val="en-NZ"/>
        </w:rPr>
        <w:t>Review Development and Regulatory Costs</w:t>
      </w:r>
    </w:p>
    <w:p w:rsidR="001D1E59" w:rsidRDefault="001D1E59" w:rsidP="00BB7A58">
      <w:pPr>
        <w:pStyle w:val="BodyText"/>
        <w:spacing w:line="360" w:lineRule="auto"/>
        <w:rPr>
          <w:lang w:val="en-NZ"/>
        </w:rPr>
      </w:pPr>
      <w:r w:rsidRPr="00E35AC4">
        <w:rPr>
          <w:lang w:val="en-NZ"/>
        </w:rPr>
        <w:t>A common theme in national and local research</w:t>
      </w:r>
      <w:r w:rsidRPr="002F6799">
        <w:rPr>
          <w:lang w:val="en-NZ"/>
        </w:rPr>
        <w:t xml:space="preserve"> and feedback is the </w:t>
      </w:r>
      <w:r>
        <w:rPr>
          <w:lang w:val="en-NZ"/>
        </w:rPr>
        <w:t xml:space="preserve">financial impact </w:t>
      </w:r>
      <w:r w:rsidRPr="002F6799">
        <w:rPr>
          <w:lang w:val="en-NZ"/>
        </w:rPr>
        <w:t>of development contributions, finan</w:t>
      </w:r>
      <w:r>
        <w:rPr>
          <w:lang w:val="en-NZ"/>
        </w:rPr>
        <w:t>cial contributions and the consenting process on housing delivery. Both TCC and WBOPDC review their respective contributions policies regularly and this practice is unlikely to change; so they are relevant and current. Also, both development contributions and consenting fees are part of a cost recovery policy for the councils, so the only alternative is to subsidise these financial costs through increased rates. Linked to this is that both councils also regularly review their levels of service and their infrastructure development codes to strike the right balance between construction costs and public asset integrity.</w:t>
      </w:r>
    </w:p>
    <w:p w:rsidR="001D1E59" w:rsidRDefault="001D1E59" w:rsidP="00BB7A58">
      <w:pPr>
        <w:pStyle w:val="BodyText"/>
        <w:spacing w:line="360" w:lineRule="auto"/>
        <w:rPr>
          <w:lang w:val="en-NZ"/>
        </w:rPr>
      </w:pPr>
      <w:r>
        <w:rPr>
          <w:lang w:val="en-NZ"/>
        </w:rPr>
        <w:t>There are a series of small policy adjustments that local councils are already doing in their business delivery but they alone would not deliver housing</w:t>
      </w:r>
      <w:r w:rsidR="00661B51">
        <w:rPr>
          <w:lang w:val="en-NZ"/>
        </w:rPr>
        <w:t xml:space="preserve"> affordability</w:t>
      </w:r>
      <w:r>
        <w:rPr>
          <w:lang w:val="en-NZ"/>
        </w:rPr>
        <w:t xml:space="preserve"> on a large scale.</w:t>
      </w:r>
    </w:p>
    <w:p w:rsidR="001D1E59" w:rsidRPr="00F34649" w:rsidRDefault="001D1E59" w:rsidP="00BB7A58">
      <w:pPr>
        <w:pStyle w:val="BodyText"/>
        <w:spacing w:line="360" w:lineRule="auto"/>
        <w:rPr>
          <w:b/>
          <w:lang w:val="en-NZ"/>
        </w:rPr>
      </w:pPr>
      <w:r w:rsidRPr="00F34649">
        <w:rPr>
          <w:b/>
          <w:lang w:val="en-NZ"/>
        </w:rPr>
        <w:t>Planning Provisions</w:t>
      </w:r>
    </w:p>
    <w:p w:rsidR="001D1E59" w:rsidRDefault="001D1E59" w:rsidP="00BB7A58">
      <w:pPr>
        <w:pStyle w:val="BodyText"/>
        <w:spacing w:line="360" w:lineRule="auto"/>
        <w:rPr>
          <w:lang w:val="en-NZ"/>
        </w:rPr>
      </w:pPr>
      <w:r w:rsidRPr="002F6799">
        <w:rPr>
          <w:lang w:val="en-NZ"/>
        </w:rPr>
        <w:t xml:space="preserve">The development community feedback </w:t>
      </w:r>
      <w:r>
        <w:rPr>
          <w:lang w:val="en-NZ"/>
        </w:rPr>
        <w:t xml:space="preserve">also </w:t>
      </w:r>
      <w:r w:rsidRPr="002F6799">
        <w:rPr>
          <w:lang w:val="en-NZ"/>
        </w:rPr>
        <w:t>suggests</w:t>
      </w:r>
      <w:r>
        <w:rPr>
          <w:lang w:val="en-NZ"/>
        </w:rPr>
        <w:t xml:space="preserve"> ways to reduce the time and cost of delivering housing:</w:t>
      </w:r>
      <w:r w:rsidRPr="002F6799">
        <w:rPr>
          <w:lang w:val="en-NZ"/>
        </w:rPr>
        <w:t xml:space="preserve"> </w:t>
      </w:r>
    </w:p>
    <w:p w:rsidR="001D1E59" w:rsidRPr="002F6799" w:rsidRDefault="001D1E59" w:rsidP="00D17AD7">
      <w:pPr>
        <w:numPr>
          <w:ilvl w:val="0"/>
          <w:numId w:val="7"/>
        </w:numPr>
        <w:autoSpaceDE w:val="0"/>
        <w:autoSpaceDN w:val="0"/>
        <w:adjustRightInd w:val="0"/>
        <w:spacing w:line="360" w:lineRule="auto"/>
        <w:ind w:left="1134"/>
        <w:rPr>
          <w:lang w:eastAsia="en-NZ"/>
        </w:rPr>
      </w:pPr>
      <w:r>
        <w:rPr>
          <w:lang w:eastAsia="en-NZ"/>
        </w:rPr>
        <w:t>P</w:t>
      </w:r>
      <w:r w:rsidRPr="002F6799">
        <w:rPr>
          <w:lang w:eastAsia="en-NZ"/>
        </w:rPr>
        <w:t xml:space="preserve">ermissive </w:t>
      </w:r>
      <w:r>
        <w:rPr>
          <w:lang w:eastAsia="en-NZ"/>
        </w:rPr>
        <w:t xml:space="preserve">district plan </w:t>
      </w:r>
      <w:r w:rsidRPr="002F6799">
        <w:rPr>
          <w:lang w:eastAsia="en-NZ"/>
        </w:rPr>
        <w:t>rules that enable smaller dwellings as long as they fit an affordable criteria.</w:t>
      </w:r>
    </w:p>
    <w:p w:rsidR="001D1E59" w:rsidRPr="002F6799" w:rsidRDefault="001D1E59" w:rsidP="00D17AD7">
      <w:pPr>
        <w:numPr>
          <w:ilvl w:val="0"/>
          <w:numId w:val="7"/>
        </w:numPr>
        <w:autoSpaceDE w:val="0"/>
        <w:autoSpaceDN w:val="0"/>
        <w:adjustRightInd w:val="0"/>
        <w:spacing w:line="360" w:lineRule="auto"/>
        <w:ind w:left="1134"/>
        <w:rPr>
          <w:lang w:eastAsia="en-NZ"/>
        </w:rPr>
      </w:pPr>
      <w:r>
        <w:rPr>
          <w:lang w:eastAsia="en-NZ"/>
        </w:rPr>
        <w:t>Increase permitted</w:t>
      </w:r>
      <w:r w:rsidRPr="002F6799">
        <w:rPr>
          <w:lang w:eastAsia="en-NZ"/>
        </w:rPr>
        <w:t xml:space="preserve"> height in residential areas</w:t>
      </w:r>
      <w:r>
        <w:rPr>
          <w:lang w:eastAsia="en-NZ"/>
        </w:rPr>
        <w:t xml:space="preserve"> for multi-level building scope</w:t>
      </w:r>
    </w:p>
    <w:p w:rsidR="001D1E59" w:rsidRDefault="001D1E59" w:rsidP="00D17AD7">
      <w:pPr>
        <w:numPr>
          <w:ilvl w:val="0"/>
          <w:numId w:val="7"/>
        </w:numPr>
        <w:autoSpaceDE w:val="0"/>
        <w:autoSpaceDN w:val="0"/>
        <w:adjustRightInd w:val="0"/>
        <w:spacing w:line="360" w:lineRule="auto"/>
        <w:ind w:left="1134"/>
        <w:rPr>
          <w:lang w:eastAsia="en-NZ"/>
        </w:rPr>
      </w:pPr>
      <w:r>
        <w:rPr>
          <w:lang w:eastAsia="en-NZ"/>
        </w:rPr>
        <w:t>Appoint c</w:t>
      </w:r>
      <w:r w:rsidRPr="002F6799">
        <w:rPr>
          <w:lang w:eastAsia="en-NZ"/>
        </w:rPr>
        <w:t>ase manager</w:t>
      </w:r>
      <w:r>
        <w:rPr>
          <w:lang w:eastAsia="en-NZ"/>
        </w:rPr>
        <w:t>s to facilitate affordable housing proposals</w:t>
      </w:r>
    </w:p>
    <w:p w:rsidR="001D1E59" w:rsidRPr="002F6799" w:rsidRDefault="001D1E59" w:rsidP="00D17AD7">
      <w:pPr>
        <w:numPr>
          <w:ilvl w:val="0"/>
          <w:numId w:val="7"/>
        </w:numPr>
        <w:autoSpaceDE w:val="0"/>
        <w:autoSpaceDN w:val="0"/>
        <w:adjustRightInd w:val="0"/>
        <w:spacing w:line="360" w:lineRule="auto"/>
        <w:ind w:left="1134"/>
        <w:rPr>
          <w:lang w:eastAsia="en-NZ"/>
        </w:rPr>
      </w:pPr>
      <w:r>
        <w:rPr>
          <w:lang w:eastAsia="en-NZ"/>
        </w:rPr>
        <w:t>Standard, modular or c</w:t>
      </w:r>
      <w:r w:rsidRPr="002F6799">
        <w:rPr>
          <w:lang w:eastAsia="en-NZ"/>
        </w:rPr>
        <w:t xml:space="preserve">ollaborative </w:t>
      </w:r>
      <w:r>
        <w:rPr>
          <w:lang w:eastAsia="en-NZ"/>
        </w:rPr>
        <w:t xml:space="preserve">house </w:t>
      </w:r>
      <w:r w:rsidRPr="002F6799">
        <w:rPr>
          <w:lang w:eastAsia="en-NZ"/>
        </w:rPr>
        <w:t>designs and reuse designs – lifetime designs.</w:t>
      </w:r>
    </w:p>
    <w:p w:rsidR="001D1E59" w:rsidRDefault="001D1E59" w:rsidP="00D17AD7">
      <w:pPr>
        <w:numPr>
          <w:ilvl w:val="0"/>
          <w:numId w:val="7"/>
        </w:numPr>
        <w:autoSpaceDE w:val="0"/>
        <w:autoSpaceDN w:val="0"/>
        <w:adjustRightInd w:val="0"/>
        <w:spacing w:line="360" w:lineRule="auto"/>
        <w:ind w:left="1134"/>
        <w:rPr>
          <w:lang w:eastAsia="en-NZ"/>
        </w:rPr>
      </w:pPr>
      <w:r w:rsidRPr="002F6799">
        <w:rPr>
          <w:lang w:eastAsia="en-NZ"/>
        </w:rPr>
        <w:t>Flexible design</w:t>
      </w:r>
      <w:r>
        <w:rPr>
          <w:lang w:eastAsia="en-NZ"/>
        </w:rPr>
        <w:t>/ plan</w:t>
      </w:r>
      <w:r w:rsidRPr="002F6799">
        <w:rPr>
          <w:lang w:eastAsia="en-NZ"/>
        </w:rPr>
        <w:t xml:space="preserve"> criteria and</w:t>
      </w:r>
      <w:r>
        <w:rPr>
          <w:lang w:eastAsia="en-NZ"/>
        </w:rPr>
        <w:t xml:space="preserve"> less prescriptive urban design provisions.</w:t>
      </w:r>
    </w:p>
    <w:p w:rsidR="001D1E59" w:rsidRPr="002F6799" w:rsidRDefault="001D1E59" w:rsidP="00D17AD7">
      <w:pPr>
        <w:numPr>
          <w:ilvl w:val="0"/>
          <w:numId w:val="7"/>
        </w:numPr>
        <w:autoSpaceDE w:val="0"/>
        <w:autoSpaceDN w:val="0"/>
        <w:adjustRightInd w:val="0"/>
        <w:spacing w:line="360" w:lineRule="auto"/>
        <w:ind w:left="1134"/>
        <w:rPr>
          <w:lang w:eastAsia="en-NZ"/>
        </w:rPr>
      </w:pPr>
      <w:r>
        <w:rPr>
          <w:lang w:eastAsia="en-NZ"/>
        </w:rPr>
        <w:t>Provide for a staged payment of development contributions (Both councils already have policy around this in their respective implementation of contributions or other financial management actions).</w:t>
      </w:r>
    </w:p>
    <w:p w:rsidR="001D1E59" w:rsidRDefault="001D1E59" w:rsidP="00BB7A58">
      <w:pPr>
        <w:pStyle w:val="BodyText"/>
        <w:spacing w:line="360" w:lineRule="auto"/>
        <w:rPr>
          <w:lang w:val="en-NZ"/>
        </w:rPr>
      </w:pPr>
      <w:r>
        <w:rPr>
          <w:lang w:val="en-NZ"/>
        </w:rPr>
        <w:t xml:space="preserve">Both district plans have recently been through an extensive plan review process. In Tauranga the minimum nett site area for an independent dwelling unit is already smaller than many cities at 325m2- subject to other on-site controls, such as height and overshadowing. Both district plans have basic bulk and location controls that are fairly standard throughout New Zealand. How such smaller sites are developed for housing is left to the market, regardless of the price point. </w:t>
      </w:r>
    </w:p>
    <w:p w:rsidR="001D1E59" w:rsidRDefault="001D1E59" w:rsidP="00BB7A58">
      <w:pPr>
        <w:pStyle w:val="BodyText"/>
        <w:spacing w:line="360" w:lineRule="auto"/>
        <w:rPr>
          <w:lang w:val="en-NZ"/>
        </w:rPr>
      </w:pPr>
      <w:r>
        <w:rPr>
          <w:lang w:val="en-NZ"/>
        </w:rPr>
        <w:t xml:space="preserve">Planning controls to encourage greater residential intensification is the subject of a separate SmartGrowth research report (December 2012). Preliminary information on the feasibility of intensification housing models indicates that additional building height for suburban areas is unlikely to provide any material gain in affordability and may in fact add considerably to construction costs for multi-level typologies. Further, the recent district plan review processes indicate that local communities do have views about housing standards and their local neighbourhood amenity values, so some balance is required in these matters. </w:t>
      </w:r>
    </w:p>
    <w:p w:rsidR="001D1E59" w:rsidRDefault="001D1E59" w:rsidP="00BB7A58">
      <w:pPr>
        <w:pStyle w:val="BodyText"/>
        <w:spacing w:line="360" w:lineRule="auto"/>
        <w:rPr>
          <w:lang w:val="en-NZ"/>
        </w:rPr>
      </w:pPr>
      <w:r>
        <w:rPr>
          <w:lang w:val="en-NZ"/>
        </w:rPr>
        <w:t>The development of policy for “affordable criteria” and related case management and how that is applied could be considered further.</w:t>
      </w:r>
    </w:p>
    <w:p w:rsidR="001D1E59" w:rsidRDefault="001D1E59" w:rsidP="00BB7A58">
      <w:pPr>
        <w:pStyle w:val="BodyText"/>
        <w:spacing w:line="360" w:lineRule="auto"/>
        <w:rPr>
          <w:lang w:val="en-NZ"/>
        </w:rPr>
      </w:pPr>
    </w:p>
    <w:p w:rsidR="001D1E59" w:rsidRDefault="001D1E59" w:rsidP="00D17AD7">
      <w:pPr>
        <w:pStyle w:val="BodyText"/>
        <w:numPr>
          <w:ilvl w:val="0"/>
          <w:numId w:val="23"/>
        </w:numPr>
        <w:rPr>
          <w:b/>
          <w:u w:val="single"/>
          <w:lang w:val="en-NZ"/>
        </w:rPr>
      </w:pPr>
      <w:r w:rsidRPr="00BB7A58">
        <w:rPr>
          <w:b/>
          <w:u w:val="single"/>
          <w:lang w:val="en-NZ"/>
        </w:rPr>
        <w:t>Building Costs</w:t>
      </w:r>
    </w:p>
    <w:p w:rsidR="001D1E59" w:rsidRDefault="001D1E59" w:rsidP="00F34649">
      <w:pPr>
        <w:pStyle w:val="BodyText"/>
        <w:rPr>
          <w:b/>
          <w:u w:val="single"/>
          <w:lang w:val="en-NZ"/>
        </w:rPr>
      </w:pPr>
    </w:p>
    <w:p w:rsidR="001D1E59" w:rsidRPr="00F34649" w:rsidRDefault="001D1E59" w:rsidP="00D036A7">
      <w:pPr>
        <w:pStyle w:val="Heading2"/>
        <w:numPr>
          <w:ilvl w:val="0"/>
          <w:numId w:val="0"/>
        </w:numPr>
        <w:ind w:left="720"/>
        <w:rPr>
          <w:rFonts w:ascii="Arial" w:hAnsi="Arial"/>
          <w:u w:val="none"/>
        </w:rPr>
      </w:pPr>
      <w:r w:rsidRPr="00F34649">
        <w:rPr>
          <w:u w:val="none"/>
        </w:rPr>
        <w:t>Review Development Costs</w:t>
      </w:r>
    </w:p>
    <w:p w:rsidR="001D1E59" w:rsidRDefault="001D1E59" w:rsidP="005D70F7">
      <w:pPr>
        <w:pStyle w:val="BodyText"/>
        <w:spacing w:line="360" w:lineRule="auto"/>
        <w:rPr>
          <w:lang w:val="en-NZ"/>
        </w:rPr>
      </w:pPr>
      <w:r>
        <w:rPr>
          <w:lang w:val="en-NZ"/>
        </w:rPr>
        <w:t xml:space="preserve">As noted above there are a series of small policy adjustments that local councils are already doing in their business delivery but they alone would not deliver </w:t>
      </w:r>
      <w:r w:rsidR="00661B51" w:rsidRPr="00661B51">
        <w:rPr>
          <w:lang w:val="en-NZ"/>
        </w:rPr>
        <w:t>housing affordability</w:t>
      </w:r>
      <w:r>
        <w:rPr>
          <w:lang w:val="en-NZ"/>
        </w:rPr>
        <w:t xml:space="preserve"> on a large scale.</w:t>
      </w:r>
    </w:p>
    <w:p w:rsidR="001D1E59" w:rsidRPr="00F34649" w:rsidRDefault="001D1E59" w:rsidP="00BB7A58">
      <w:pPr>
        <w:pStyle w:val="BodyText"/>
        <w:spacing w:line="360" w:lineRule="auto"/>
        <w:rPr>
          <w:b/>
          <w:lang w:val="en-NZ"/>
        </w:rPr>
      </w:pPr>
      <w:r w:rsidRPr="00F34649">
        <w:rPr>
          <w:b/>
          <w:lang w:val="en-NZ"/>
        </w:rPr>
        <w:t>Standardised design or building methods</w:t>
      </w:r>
    </w:p>
    <w:p w:rsidR="001D1E59" w:rsidRDefault="001D1E59" w:rsidP="00BB7A58">
      <w:pPr>
        <w:pStyle w:val="BodyText"/>
        <w:spacing w:line="360" w:lineRule="auto"/>
        <w:rPr>
          <w:lang w:val="en-NZ"/>
        </w:rPr>
      </w:pPr>
      <w:r>
        <w:rPr>
          <w:lang w:val="en-NZ"/>
        </w:rPr>
        <w:t>Some building firms already apply modular or standard design synergies to their construction methods.</w:t>
      </w:r>
    </w:p>
    <w:p w:rsidR="001D1E59" w:rsidRPr="00F34649" w:rsidRDefault="001D1E59" w:rsidP="00BB7A58">
      <w:pPr>
        <w:pStyle w:val="BodyText"/>
        <w:spacing w:line="360" w:lineRule="auto"/>
        <w:rPr>
          <w:b/>
          <w:lang w:val="en-NZ"/>
        </w:rPr>
      </w:pPr>
      <w:r w:rsidRPr="00F34649">
        <w:rPr>
          <w:b/>
          <w:lang w:val="en-NZ"/>
        </w:rPr>
        <w:t>Private covenants</w:t>
      </w:r>
    </w:p>
    <w:p w:rsidR="001D1E59" w:rsidRDefault="001D1E59" w:rsidP="00BB7A58">
      <w:pPr>
        <w:pStyle w:val="BodyText"/>
        <w:spacing w:line="360" w:lineRule="auto"/>
        <w:rPr>
          <w:lang w:val="en-NZ"/>
        </w:rPr>
      </w:pPr>
      <w:r>
        <w:rPr>
          <w:lang w:val="en-NZ"/>
        </w:rPr>
        <w:t>Many residential subdivisions now use private covenants on house type, cost, materials, landscaping etc that increase building and site development costs. Under current legislation there is little a council can do to stop this practice.</w:t>
      </w:r>
    </w:p>
    <w:p w:rsidR="001D1E59" w:rsidRPr="005D70F7" w:rsidRDefault="001D1E59" w:rsidP="00BB7A58">
      <w:pPr>
        <w:pStyle w:val="BodyText"/>
        <w:spacing w:line="360" w:lineRule="auto"/>
        <w:rPr>
          <w:b/>
          <w:u w:val="single"/>
          <w:lang w:val="en-NZ"/>
        </w:rPr>
      </w:pPr>
    </w:p>
    <w:p w:rsidR="001D1E59" w:rsidRPr="00F34649" w:rsidRDefault="001D1E59" w:rsidP="00D17AD7">
      <w:pPr>
        <w:pStyle w:val="BodyText"/>
        <w:numPr>
          <w:ilvl w:val="0"/>
          <w:numId w:val="23"/>
        </w:numPr>
        <w:rPr>
          <w:b/>
          <w:u w:val="single"/>
          <w:lang w:val="en-NZ"/>
        </w:rPr>
      </w:pPr>
      <w:r w:rsidRPr="00F34649">
        <w:rPr>
          <w:b/>
          <w:u w:val="single"/>
          <w:lang w:val="en-NZ"/>
        </w:rPr>
        <w:t>Leadership, ownership, financing and funding arrangements.</w:t>
      </w:r>
    </w:p>
    <w:p w:rsidR="001D1E59" w:rsidRPr="00D036A7" w:rsidRDefault="001D1E59" w:rsidP="00D036A7">
      <w:pPr>
        <w:spacing w:line="360" w:lineRule="auto"/>
        <w:ind w:left="720"/>
        <w:rPr>
          <w:b/>
          <w:u w:val="single"/>
          <w:lang w:val="en-GB"/>
        </w:rPr>
      </w:pPr>
    </w:p>
    <w:p w:rsidR="001D1E59" w:rsidRPr="00F34649" w:rsidRDefault="001D1E59" w:rsidP="0048624F">
      <w:pPr>
        <w:pStyle w:val="ListParagraph"/>
        <w:spacing w:line="360" w:lineRule="auto"/>
        <w:rPr>
          <w:b/>
          <w:sz w:val="22"/>
          <w:szCs w:val="22"/>
        </w:rPr>
      </w:pPr>
      <w:bookmarkStart w:id="14" w:name="_Toc338427788"/>
      <w:bookmarkEnd w:id="13"/>
      <w:r w:rsidRPr="00F34649">
        <w:rPr>
          <w:b/>
          <w:sz w:val="22"/>
          <w:szCs w:val="22"/>
        </w:rPr>
        <w:t>Explore Housing Ownership Models</w:t>
      </w:r>
      <w:bookmarkEnd w:id="14"/>
    </w:p>
    <w:p w:rsidR="001D1E59" w:rsidRPr="002F6799" w:rsidRDefault="001D1E59" w:rsidP="007601D6">
      <w:pPr>
        <w:pStyle w:val="ListParagraph"/>
        <w:spacing w:line="360" w:lineRule="auto"/>
        <w:rPr>
          <w:rFonts w:cs="Arial"/>
          <w:sz w:val="22"/>
          <w:szCs w:val="22"/>
        </w:rPr>
      </w:pPr>
      <w:r w:rsidRPr="006C43BD">
        <w:rPr>
          <w:sz w:val="22"/>
          <w:szCs w:val="22"/>
        </w:rPr>
        <w:t>There will always be a proportion of the population who will for matters of choice or circumstance prefer to have rental or lease accommodation</w:t>
      </w:r>
      <w:r>
        <w:rPr>
          <w:sz w:val="22"/>
          <w:szCs w:val="22"/>
        </w:rPr>
        <w:t>.</w:t>
      </w:r>
      <w:r w:rsidRPr="002F6799">
        <w:rPr>
          <w:rFonts w:cs="Arial"/>
          <w:sz w:val="22"/>
          <w:szCs w:val="22"/>
        </w:rPr>
        <w:t xml:space="preserve"> The literature review and liaison with </w:t>
      </w:r>
      <w:r>
        <w:rPr>
          <w:rFonts w:cs="Arial"/>
          <w:sz w:val="22"/>
          <w:szCs w:val="22"/>
        </w:rPr>
        <w:t>interested parties</w:t>
      </w:r>
      <w:r w:rsidRPr="002F6799">
        <w:rPr>
          <w:rFonts w:cs="Arial"/>
          <w:sz w:val="22"/>
          <w:szCs w:val="22"/>
        </w:rPr>
        <w:t xml:space="preserve"> has identified several alternative financial models</w:t>
      </w:r>
      <w:r>
        <w:rPr>
          <w:rFonts w:cs="Arial"/>
          <w:sz w:val="22"/>
          <w:szCs w:val="22"/>
        </w:rPr>
        <w:t xml:space="preserve"> that could be explored further.</w:t>
      </w:r>
      <w:r w:rsidRPr="002F6799">
        <w:rPr>
          <w:rFonts w:cs="Arial"/>
          <w:sz w:val="22"/>
          <w:szCs w:val="22"/>
        </w:rPr>
        <w:t xml:space="preserve"> These could include </w:t>
      </w:r>
      <w:r>
        <w:rPr>
          <w:rFonts w:cs="Arial"/>
          <w:sz w:val="22"/>
          <w:szCs w:val="22"/>
        </w:rPr>
        <w:t>C</w:t>
      </w:r>
      <w:r w:rsidRPr="002F6799">
        <w:rPr>
          <w:rFonts w:cs="Arial"/>
          <w:sz w:val="22"/>
          <w:szCs w:val="22"/>
        </w:rPr>
        <w:t>ommunity Lan</w:t>
      </w:r>
      <w:r>
        <w:rPr>
          <w:rFonts w:cs="Arial"/>
          <w:sz w:val="22"/>
          <w:szCs w:val="22"/>
        </w:rPr>
        <w:t>d Trusts, Māori land trusts, C</w:t>
      </w:r>
      <w:r w:rsidRPr="002F6799">
        <w:rPr>
          <w:rFonts w:cs="Arial"/>
          <w:sz w:val="22"/>
          <w:szCs w:val="22"/>
        </w:rPr>
        <w:t>ommunity Housing Trusts</w:t>
      </w:r>
      <w:r>
        <w:rPr>
          <w:rFonts w:cs="Arial"/>
          <w:sz w:val="22"/>
          <w:szCs w:val="22"/>
        </w:rPr>
        <w:t xml:space="preserve"> and private developers who could deliver affordable housing through different ownership options</w:t>
      </w:r>
      <w:r w:rsidRPr="002F6799">
        <w:rPr>
          <w:rFonts w:cs="Arial"/>
          <w:sz w:val="22"/>
          <w:szCs w:val="22"/>
        </w:rPr>
        <w:t xml:space="preserve">. </w:t>
      </w:r>
      <w:r>
        <w:rPr>
          <w:rFonts w:cs="Arial"/>
          <w:sz w:val="22"/>
          <w:szCs w:val="22"/>
        </w:rPr>
        <w:t xml:space="preserve">A common mechanism is the use of leasehold type arrangements rather than fee simple. In Auckland the </w:t>
      </w:r>
      <w:r w:rsidRPr="002F6799">
        <w:rPr>
          <w:rFonts w:cs="Arial"/>
          <w:sz w:val="22"/>
          <w:szCs w:val="22"/>
        </w:rPr>
        <w:t>Melanesian Mission and</w:t>
      </w:r>
      <w:r>
        <w:rPr>
          <w:rFonts w:cs="Arial"/>
          <w:sz w:val="22"/>
          <w:szCs w:val="22"/>
        </w:rPr>
        <w:t xml:space="preserve"> its parent the Anglican Church run and extensive leasehold land portfolio in the eastern suburbs.</w:t>
      </w:r>
      <w:r w:rsidRPr="002F6799">
        <w:rPr>
          <w:rFonts w:cs="Arial"/>
          <w:sz w:val="22"/>
          <w:szCs w:val="22"/>
        </w:rPr>
        <w:t xml:space="preserve"> </w:t>
      </w:r>
    </w:p>
    <w:p w:rsidR="001D1E59" w:rsidRPr="002F6799" w:rsidRDefault="001D1E59" w:rsidP="0012632E">
      <w:pPr>
        <w:pStyle w:val="ListParagraph"/>
        <w:spacing w:line="276" w:lineRule="auto"/>
        <w:rPr>
          <w:rFonts w:cs="Arial"/>
          <w:sz w:val="22"/>
          <w:szCs w:val="22"/>
        </w:rPr>
      </w:pPr>
    </w:p>
    <w:p w:rsidR="001D1E59" w:rsidRDefault="001D1E59" w:rsidP="006C43BD">
      <w:pPr>
        <w:pStyle w:val="ListParagraph"/>
        <w:spacing w:line="360" w:lineRule="auto"/>
        <w:rPr>
          <w:rFonts w:cs="Arial"/>
          <w:sz w:val="22"/>
          <w:szCs w:val="22"/>
        </w:rPr>
      </w:pPr>
      <w:r w:rsidRPr="002F6799">
        <w:rPr>
          <w:rFonts w:cs="Arial"/>
          <w:sz w:val="22"/>
          <w:szCs w:val="22"/>
        </w:rPr>
        <w:t xml:space="preserve">In the western Bay of Plenty Māori land trusts are </w:t>
      </w:r>
      <w:r>
        <w:rPr>
          <w:rFonts w:cs="Arial"/>
          <w:sz w:val="22"/>
          <w:szCs w:val="22"/>
        </w:rPr>
        <w:t>already using</w:t>
      </w:r>
      <w:r w:rsidRPr="002F6799">
        <w:rPr>
          <w:rFonts w:cs="Arial"/>
          <w:sz w:val="22"/>
          <w:szCs w:val="22"/>
        </w:rPr>
        <w:t xml:space="preserve"> innova</w:t>
      </w:r>
      <w:r>
        <w:rPr>
          <w:rFonts w:cs="Arial"/>
          <w:sz w:val="22"/>
          <w:szCs w:val="22"/>
        </w:rPr>
        <w:t>tive ways</w:t>
      </w:r>
      <w:r w:rsidRPr="002F6799">
        <w:rPr>
          <w:rFonts w:cs="Arial"/>
          <w:sz w:val="22"/>
          <w:szCs w:val="22"/>
        </w:rPr>
        <w:t xml:space="preserve"> to achieving housing tha</w:t>
      </w:r>
      <w:r>
        <w:rPr>
          <w:rFonts w:cs="Arial"/>
          <w:sz w:val="22"/>
          <w:szCs w:val="22"/>
        </w:rPr>
        <w:t>t is both affordable, of good</w:t>
      </w:r>
      <w:r w:rsidRPr="002F6799">
        <w:rPr>
          <w:rFonts w:cs="Arial"/>
          <w:sz w:val="22"/>
          <w:szCs w:val="22"/>
        </w:rPr>
        <w:t xml:space="preserve"> quality and meets cultural preferences, such as retaining land in communal ownership.  </w:t>
      </w:r>
      <w:r>
        <w:rPr>
          <w:rFonts w:cs="Arial"/>
          <w:sz w:val="22"/>
          <w:szCs w:val="22"/>
        </w:rPr>
        <w:t>One example is the r</w:t>
      </w:r>
      <w:r w:rsidRPr="002F6799">
        <w:rPr>
          <w:rFonts w:cs="Arial"/>
          <w:sz w:val="22"/>
          <w:szCs w:val="22"/>
        </w:rPr>
        <w:t>ecent Mangatawa h</w:t>
      </w:r>
      <w:r>
        <w:rPr>
          <w:rFonts w:cs="Arial"/>
          <w:sz w:val="22"/>
          <w:szCs w:val="22"/>
        </w:rPr>
        <w:t>ousing using leasehold estates. There is potential for SmartGrowth to explore the feasibility of such models on a wider front; for example, the Queenstown Housing Trust facilitated by Queenstown Lakes District Council.</w:t>
      </w:r>
    </w:p>
    <w:p w:rsidR="001D1E59" w:rsidRPr="002F6799" w:rsidRDefault="001D1E59" w:rsidP="006C43BD">
      <w:pPr>
        <w:pStyle w:val="ListParagraph"/>
        <w:spacing w:line="360" w:lineRule="auto"/>
        <w:rPr>
          <w:rFonts w:cs="Arial"/>
          <w:sz w:val="22"/>
          <w:szCs w:val="22"/>
        </w:rPr>
      </w:pPr>
    </w:p>
    <w:p w:rsidR="001D1E59" w:rsidRPr="002F6799" w:rsidRDefault="001D1E59" w:rsidP="006B0A14">
      <w:pPr>
        <w:autoSpaceDE w:val="0"/>
        <w:autoSpaceDN w:val="0"/>
        <w:adjustRightInd w:val="0"/>
        <w:spacing w:line="360" w:lineRule="auto"/>
        <w:ind w:left="720"/>
      </w:pPr>
      <w:r>
        <w:t>R</w:t>
      </w:r>
      <w:r w:rsidRPr="002F6799">
        <w:t xml:space="preserve">etaining </w:t>
      </w:r>
      <w:r>
        <w:t xml:space="preserve">existing </w:t>
      </w:r>
      <w:r w:rsidRPr="002F6799">
        <w:t xml:space="preserve">housing </w:t>
      </w:r>
      <w:r>
        <w:t>assets within Council ownership or extending the portfolio to meet additional demand</w:t>
      </w:r>
      <w:r w:rsidRPr="002F6799">
        <w:t xml:space="preserve"> </w:t>
      </w:r>
      <w:r>
        <w:t>contributes to meeting social housing needs. Central government is currently in the process of building the capability of the third sector (e.g. community housing trusts) which may offer an opportunity for third sector groups to work with councils in relation to existing or expanded social housing portfolios.</w:t>
      </w:r>
    </w:p>
    <w:p w:rsidR="001D1E59" w:rsidRPr="00D036A7" w:rsidRDefault="001D1E59" w:rsidP="00D036A7">
      <w:pPr>
        <w:pStyle w:val="ListParagraph"/>
        <w:spacing w:line="360" w:lineRule="auto"/>
        <w:rPr>
          <w:rFonts w:cs="Arial"/>
          <w:sz w:val="22"/>
          <w:szCs w:val="22"/>
        </w:rPr>
      </w:pPr>
      <w:bookmarkStart w:id="15" w:name="_Toc335909580"/>
    </w:p>
    <w:p w:rsidR="001D1E59" w:rsidRPr="00F34649" w:rsidRDefault="001D1E59" w:rsidP="007601D6">
      <w:pPr>
        <w:pStyle w:val="Heading2"/>
        <w:numPr>
          <w:ilvl w:val="0"/>
          <w:numId w:val="0"/>
        </w:numPr>
        <w:spacing w:line="360" w:lineRule="auto"/>
        <w:ind w:left="720"/>
        <w:rPr>
          <w:rFonts w:ascii="Arial" w:hAnsi="Arial"/>
          <w:u w:val="none"/>
        </w:rPr>
      </w:pPr>
      <w:bookmarkStart w:id="16" w:name="_Toc338427792"/>
      <w:bookmarkEnd w:id="15"/>
      <w:r w:rsidRPr="00F34649">
        <w:rPr>
          <w:u w:val="none"/>
        </w:rPr>
        <w:t xml:space="preserve">Explore JVs and Public Private </w:t>
      </w:r>
      <w:bookmarkEnd w:id="16"/>
      <w:r w:rsidRPr="00F34649">
        <w:rPr>
          <w:u w:val="none"/>
        </w:rPr>
        <w:t>Partnerships</w:t>
      </w:r>
    </w:p>
    <w:p w:rsidR="001D1E59" w:rsidRPr="002F6799" w:rsidRDefault="001D1E59" w:rsidP="007601D6">
      <w:pPr>
        <w:autoSpaceDE w:val="0"/>
        <w:autoSpaceDN w:val="0"/>
        <w:adjustRightInd w:val="0"/>
        <w:spacing w:line="360" w:lineRule="auto"/>
        <w:ind w:left="720"/>
      </w:pPr>
      <w:r>
        <w:t>Joint ventures and public-</w:t>
      </w:r>
      <w:r w:rsidRPr="002F6799">
        <w:t>private partnerships</w:t>
      </w:r>
      <w:r>
        <w:t xml:space="preserve"> are possible under the existing legislative framework (Note this may not be so easy under the proposed Local Government Act amendments). The issue for the </w:t>
      </w:r>
      <w:r w:rsidRPr="002F6799">
        <w:t xml:space="preserve">SmartGrowth </w:t>
      </w:r>
      <w:r>
        <w:t xml:space="preserve">Council’s is whether it is within the wider public interest to facilitate the supply of affordable housing using public resources or capital, as well as risk management. The Hobsonville Project and the Tamaki Transformation Project outlined above shows what can be done with the right policy framework and collaborative effort. </w:t>
      </w:r>
    </w:p>
    <w:p w:rsidR="001D1E59" w:rsidRPr="002F6799" w:rsidRDefault="001D1E59" w:rsidP="002B2587">
      <w:pPr>
        <w:autoSpaceDE w:val="0"/>
        <w:autoSpaceDN w:val="0"/>
        <w:adjustRightInd w:val="0"/>
        <w:spacing w:line="360" w:lineRule="auto"/>
        <w:ind w:left="720"/>
      </w:pPr>
    </w:p>
    <w:p w:rsidR="001D1E59" w:rsidRDefault="001D1E59" w:rsidP="009C5E96">
      <w:pPr>
        <w:autoSpaceDE w:val="0"/>
        <w:autoSpaceDN w:val="0"/>
        <w:adjustRightInd w:val="0"/>
        <w:spacing w:line="360" w:lineRule="auto"/>
        <w:ind w:left="720"/>
      </w:pPr>
      <w:r w:rsidRPr="002F6799">
        <w:t>Feedback from stakeholders has</w:t>
      </w:r>
      <w:r>
        <w:t xml:space="preserve"> suggested the idea of a public-</w:t>
      </w:r>
      <w:r w:rsidRPr="002F6799">
        <w:t>private partnershi</w:t>
      </w:r>
      <w:r>
        <w:t xml:space="preserve">p to establish a house factory; </w:t>
      </w:r>
      <w:r w:rsidRPr="002F6799">
        <w:t>iwi (</w:t>
      </w:r>
      <w:r>
        <w:t xml:space="preserve">supply </w:t>
      </w:r>
      <w:r w:rsidRPr="002F6799">
        <w:t>timber, leased land), Polytechnic (labour</w:t>
      </w:r>
      <w:r>
        <w:t>, training and qualifications), councils and</w:t>
      </w:r>
      <w:r w:rsidRPr="002F6799">
        <w:t xml:space="preserve"> private</w:t>
      </w:r>
      <w:r>
        <w:t xml:space="preserve"> sector (bulk purchasing power</w:t>
      </w:r>
      <w:r w:rsidRPr="002F6799">
        <w:t>)</w:t>
      </w:r>
      <w:r>
        <w:t>, funding (regional infrastructure fund)</w:t>
      </w:r>
      <w:r w:rsidRPr="002F6799">
        <w:t xml:space="preserve">.  </w:t>
      </w:r>
    </w:p>
    <w:p w:rsidR="001D1E59" w:rsidRPr="002F6799" w:rsidRDefault="001D1E59" w:rsidP="009C5E96">
      <w:pPr>
        <w:autoSpaceDE w:val="0"/>
        <w:autoSpaceDN w:val="0"/>
        <w:adjustRightInd w:val="0"/>
        <w:spacing w:line="360" w:lineRule="auto"/>
        <w:ind w:left="720"/>
      </w:pPr>
    </w:p>
    <w:p w:rsidR="001D1E59" w:rsidRPr="00F34649" w:rsidRDefault="001D1E59" w:rsidP="007601D6">
      <w:pPr>
        <w:pStyle w:val="Heading2"/>
        <w:numPr>
          <w:ilvl w:val="0"/>
          <w:numId w:val="0"/>
        </w:numPr>
        <w:spacing w:line="360" w:lineRule="auto"/>
        <w:ind w:left="720"/>
        <w:rPr>
          <w:u w:val="none"/>
        </w:rPr>
      </w:pPr>
      <w:bookmarkStart w:id="17" w:name="_Toc335909582"/>
      <w:bookmarkStart w:id="18" w:name="_Toc338427793"/>
      <w:r w:rsidRPr="00F34649">
        <w:rPr>
          <w:u w:val="none"/>
        </w:rPr>
        <w:t>Support Education, Research and Raising Awareness</w:t>
      </w:r>
      <w:bookmarkEnd w:id="17"/>
      <w:bookmarkEnd w:id="18"/>
    </w:p>
    <w:p w:rsidR="001D1E59" w:rsidRDefault="001D1E59" w:rsidP="006A02B4">
      <w:pPr>
        <w:autoSpaceDE w:val="0"/>
        <w:autoSpaceDN w:val="0"/>
        <w:adjustRightInd w:val="0"/>
        <w:spacing w:line="360" w:lineRule="auto"/>
        <w:ind w:left="720"/>
      </w:pPr>
      <w:r w:rsidRPr="002F6799">
        <w:t xml:space="preserve">There is a significant amount of </w:t>
      </w:r>
      <w:r>
        <w:t xml:space="preserve">published research and </w:t>
      </w:r>
      <w:r w:rsidR="00661B51">
        <w:t xml:space="preserve">information relating to housing affordability. </w:t>
      </w:r>
      <w:r w:rsidRPr="002F6799">
        <w:t xml:space="preserve"> It would be advantageous to have this mater</w:t>
      </w:r>
      <w:r>
        <w:t>ial much more widely available.</w:t>
      </w:r>
      <w:r w:rsidRPr="002F6799">
        <w:t xml:space="preserve"> This could </w:t>
      </w:r>
      <w:r>
        <w:t xml:space="preserve">be </w:t>
      </w:r>
      <w:r w:rsidRPr="002F6799">
        <w:t>facilitate</w:t>
      </w:r>
      <w:r>
        <w:t>d</w:t>
      </w:r>
      <w:r w:rsidR="00310E68">
        <w:t xml:space="preserve"> by </w:t>
      </w:r>
      <w:r w:rsidR="00310E68" w:rsidRPr="00D17AD7">
        <w:t>a work programme</w:t>
      </w:r>
      <w:r w:rsidRPr="00D17AD7">
        <w:t xml:space="preserve"> linked</w:t>
      </w:r>
      <w:r w:rsidRPr="002F6799">
        <w:t xml:space="preserve"> to the SmartGrowth </w:t>
      </w:r>
      <w:r>
        <w:t xml:space="preserve">web site </w:t>
      </w:r>
      <w:r w:rsidRPr="002F6799">
        <w:t xml:space="preserve">or part of a separate collaboration between the Housing Affordability </w:t>
      </w:r>
      <w:r>
        <w:t>Forum and Maori Housing Forum.</w:t>
      </w:r>
    </w:p>
    <w:p w:rsidR="001D1E59" w:rsidRPr="002F6799" w:rsidRDefault="001D1E59" w:rsidP="006A02B4">
      <w:pPr>
        <w:autoSpaceDE w:val="0"/>
        <w:autoSpaceDN w:val="0"/>
        <w:adjustRightInd w:val="0"/>
        <w:spacing w:line="360" w:lineRule="auto"/>
        <w:ind w:left="720"/>
      </w:pPr>
    </w:p>
    <w:p w:rsidR="001D1E59" w:rsidRPr="002F6799" w:rsidRDefault="001D1E59" w:rsidP="002B2587">
      <w:pPr>
        <w:pStyle w:val="BodyText"/>
        <w:spacing w:line="360" w:lineRule="auto"/>
      </w:pPr>
      <w:r w:rsidRPr="002F6799">
        <w:t xml:space="preserve">There are a number of stakeholders who </w:t>
      </w:r>
      <w:r>
        <w:t xml:space="preserve">already </w:t>
      </w:r>
      <w:r w:rsidRPr="002F6799">
        <w:t xml:space="preserve">promote a </w:t>
      </w:r>
      <w:r>
        <w:t xml:space="preserve">range of housing designs to promote </w:t>
      </w:r>
      <w:r w:rsidR="00661B51" w:rsidRPr="00661B51">
        <w:t>housing affordability</w:t>
      </w:r>
      <w:r>
        <w:t xml:space="preserve">. Active promotion of design competitions, pilot housing projects, awareness campaigns of the benefits of different housing types and medium density, innovative housing designs or standardisation of housing packages have also been </w:t>
      </w:r>
      <w:r w:rsidRPr="002F6799">
        <w:t xml:space="preserve">suggested as methods of promoting wider awareness and education.  </w:t>
      </w:r>
    </w:p>
    <w:p w:rsidR="001D1E59" w:rsidRDefault="001D1E59" w:rsidP="002757AD">
      <w:pPr>
        <w:pStyle w:val="BodyText"/>
        <w:spacing w:line="360" w:lineRule="auto"/>
      </w:pPr>
      <w:r>
        <w:t xml:space="preserve">Research into housing preferences and the decisions people may make to access their housing choice has been done in several cities but not in the western Bay of Plenty. Undertaking local research would add useful information on housing preferences to influence builders, banks, developers to encourage an increase in the provision of a range of hosing types, </w:t>
      </w:r>
      <w:r w:rsidRPr="00D17AD7">
        <w:t xml:space="preserve">and could be part of the development of a </w:t>
      </w:r>
      <w:r w:rsidR="00661B51" w:rsidRPr="00D17AD7">
        <w:t>housing affordability</w:t>
      </w:r>
      <w:r w:rsidRPr="00D17AD7">
        <w:t xml:space="preserve"> </w:t>
      </w:r>
      <w:r w:rsidR="00310E68" w:rsidRPr="00D17AD7">
        <w:t>work programme.</w:t>
      </w:r>
    </w:p>
    <w:p w:rsidR="00E92C4D" w:rsidRPr="002F6799" w:rsidRDefault="00E92C4D" w:rsidP="002757AD">
      <w:pPr>
        <w:pStyle w:val="BodyText"/>
        <w:spacing w:line="360" w:lineRule="auto"/>
      </w:pPr>
    </w:p>
    <w:p w:rsidR="001D1E59" w:rsidRPr="00F34649" w:rsidRDefault="001D1E59" w:rsidP="00193BB6">
      <w:pPr>
        <w:pStyle w:val="Heading2"/>
        <w:numPr>
          <w:ilvl w:val="0"/>
          <w:numId w:val="0"/>
        </w:numPr>
        <w:spacing w:line="360" w:lineRule="auto"/>
        <w:ind w:left="720"/>
        <w:rPr>
          <w:rFonts w:ascii="Arial" w:hAnsi="Arial"/>
          <w:u w:val="none"/>
        </w:rPr>
      </w:pPr>
      <w:bookmarkStart w:id="19" w:name="_Toc335909583"/>
      <w:bookmarkStart w:id="20" w:name="_Toc338427794"/>
      <w:r w:rsidRPr="00F34649">
        <w:rPr>
          <w:u w:val="none"/>
        </w:rPr>
        <w:t>Supporting Māori Housing</w:t>
      </w:r>
      <w:bookmarkEnd w:id="19"/>
      <w:bookmarkEnd w:id="20"/>
      <w:r w:rsidRPr="00F34649">
        <w:rPr>
          <w:u w:val="none"/>
        </w:rPr>
        <w:t xml:space="preserve"> Initiatives </w:t>
      </w:r>
    </w:p>
    <w:p w:rsidR="001D1E59" w:rsidRPr="002F6799" w:rsidRDefault="001D1E59" w:rsidP="00193BB6">
      <w:pPr>
        <w:autoSpaceDE w:val="0"/>
        <w:autoSpaceDN w:val="0"/>
        <w:adjustRightInd w:val="0"/>
        <w:spacing w:line="360" w:lineRule="auto"/>
        <w:ind w:left="720"/>
      </w:pPr>
      <w:r>
        <w:t>S</w:t>
      </w:r>
      <w:r w:rsidRPr="002F6799">
        <w:t>everal Māori housing projects</w:t>
      </w:r>
      <w:r>
        <w:t xml:space="preserve"> are emerging in the western Bay</w:t>
      </w:r>
      <w:r w:rsidRPr="002F6799">
        <w:t xml:space="preserve"> that can be c</w:t>
      </w:r>
      <w:r>
        <w:t>onsidered innovative and leading for</w:t>
      </w:r>
      <w:r w:rsidRPr="002F6799">
        <w:t xml:space="preserve"> New Zealand</w:t>
      </w:r>
      <w:r>
        <w:t xml:space="preserve">. </w:t>
      </w:r>
      <w:r w:rsidRPr="002F6799">
        <w:t>They are small scale at present and require considerable human resources</w:t>
      </w:r>
      <w:r>
        <w:t xml:space="preserve">, but momentum is increasing as is the skills and experience in undertaking </w:t>
      </w:r>
      <w:r w:rsidR="002A01E7">
        <w:t>Papakainga</w:t>
      </w:r>
      <w:r>
        <w:t xml:space="preserve"> developments.</w:t>
      </w:r>
    </w:p>
    <w:p w:rsidR="001D1E59" w:rsidRPr="002F6799" w:rsidRDefault="001D1E59" w:rsidP="00193BB6">
      <w:pPr>
        <w:autoSpaceDE w:val="0"/>
        <w:autoSpaceDN w:val="0"/>
        <w:adjustRightInd w:val="0"/>
        <w:spacing w:line="360" w:lineRule="auto"/>
        <w:ind w:left="720"/>
      </w:pPr>
    </w:p>
    <w:p w:rsidR="001D1E59" w:rsidRDefault="001D1E59" w:rsidP="002757AD">
      <w:pPr>
        <w:autoSpaceDE w:val="0"/>
        <w:autoSpaceDN w:val="0"/>
        <w:adjustRightInd w:val="0"/>
        <w:spacing w:line="360" w:lineRule="auto"/>
        <w:ind w:left="720"/>
      </w:pPr>
      <w:r w:rsidRPr="002F6799">
        <w:t xml:space="preserve">The Joint Agency Group (JAG) </w:t>
      </w:r>
      <w:r>
        <w:t xml:space="preserve">currently oversees the monthly </w:t>
      </w:r>
      <w:r w:rsidR="002A01E7">
        <w:t>P</w:t>
      </w:r>
      <w:r w:rsidR="002A01E7" w:rsidRPr="002F6799">
        <w:t>apak</w:t>
      </w:r>
      <w:r w:rsidR="002A01E7">
        <w:t>ainga</w:t>
      </w:r>
      <w:r>
        <w:t xml:space="preserve"> workshops </w:t>
      </w:r>
      <w:r w:rsidRPr="002F6799">
        <w:t>assisting to date approx</w:t>
      </w:r>
      <w:r>
        <w:t>imately</w:t>
      </w:r>
      <w:r w:rsidRPr="002F6799">
        <w:t xml:space="preserve"> 20 land trusts to develop </w:t>
      </w:r>
      <w:r w:rsidR="002A01E7" w:rsidRPr="002F6799">
        <w:t>Papakainga</w:t>
      </w:r>
      <w:r w:rsidRPr="002F6799">
        <w:t xml:space="preserve"> structure plans on Maori land in the sub region. </w:t>
      </w:r>
      <w:r>
        <w:t xml:space="preserve">JAG has been very successful in attracting capital funding for </w:t>
      </w:r>
      <w:r w:rsidR="002A01E7">
        <w:t>Papakainga</w:t>
      </w:r>
      <w:r>
        <w:t xml:space="preserve">. </w:t>
      </w:r>
      <w:r w:rsidRPr="002F6799">
        <w:t xml:space="preserve"> </w:t>
      </w:r>
    </w:p>
    <w:p w:rsidR="001D1E59" w:rsidRDefault="001D1E59" w:rsidP="00D17AD7">
      <w:pPr>
        <w:numPr>
          <w:ilvl w:val="0"/>
          <w:numId w:val="7"/>
        </w:numPr>
        <w:autoSpaceDE w:val="0"/>
        <w:autoSpaceDN w:val="0"/>
        <w:adjustRightInd w:val="0"/>
        <w:spacing w:line="360" w:lineRule="auto"/>
        <w:ind w:left="1134"/>
        <w:rPr>
          <w:lang w:eastAsia="en-NZ"/>
        </w:rPr>
      </w:pPr>
      <w:r w:rsidRPr="002F6799">
        <w:rPr>
          <w:lang w:eastAsia="en-NZ"/>
        </w:rPr>
        <w:t xml:space="preserve">JAG assisted Rangiwaea in obtaining a grant of $1.2 million from </w:t>
      </w:r>
      <w:r>
        <w:rPr>
          <w:lang w:eastAsia="en-NZ"/>
        </w:rPr>
        <w:t>the Social Housing Unit to build 5 houses</w:t>
      </w:r>
      <w:r w:rsidRPr="002F6799">
        <w:rPr>
          <w:lang w:eastAsia="en-NZ"/>
        </w:rPr>
        <w:t xml:space="preserve"> due to start in 201</w:t>
      </w:r>
      <w:r>
        <w:rPr>
          <w:lang w:eastAsia="en-NZ"/>
        </w:rPr>
        <w:t xml:space="preserve">3. </w:t>
      </w:r>
    </w:p>
    <w:p w:rsidR="001D1E59" w:rsidRDefault="001D1E59" w:rsidP="00D17AD7">
      <w:pPr>
        <w:numPr>
          <w:ilvl w:val="0"/>
          <w:numId w:val="7"/>
        </w:numPr>
        <w:autoSpaceDE w:val="0"/>
        <w:autoSpaceDN w:val="0"/>
        <w:adjustRightInd w:val="0"/>
        <w:spacing w:line="360" w:lineRule="auto"/>
        <w:ind w:left="1134"/>
        <w:rPr>
          <w:lang w:eastAsia="en-NZ"/>
        </w:rPr>
      </w:pPr>
      <w:r w:rsidRPr="002F6799">
        <w:rPr>
          <w:lang w:eastAsia="en-NZ"/>
        </w:rPr>
        <w:t>In August</w:t>
      </w:r>
      <w:r>
        <w:rPr>
          <w:lang w:eastAsia="en-NZ"/>
        </w:rPr>
        <w:t xml:space="preserve"> 2012</w:t>
      </w:r>
      <w:r w:rsidRPr="002F6799">
        <w:rPr>
          <w:lang w:eastAsia="en-NZ"/>
        </w:rPr>
        <w:t>, capital funding of $1million was approved by the Social Housing Unit to build 5 houses in 2013</w:t>
      </w:r>
      <w:r>
        <w:rPr>
          <w:lang w:eastAsia="en-NZ"/>
        </w:rPr>
        <w:t>.</w:t>
      </w:r>
    </w:p>
    <w:p w:rsidR="001D1E59" w:rsidRDefault="001D1E59" w:rsidP="00D17AD7">
      <w:pPr>
        <w:numPr>
          <w:ilvl w:val="0"/>
          <w:numId w:val="7"/>
        </w:numPr>
        <w:autoSpaceDE w:val="0"/>
        <w:autoSpaceDN w:val="0"/>
        <w:adjustRightInd w:val="0"/>
        <w:spacing w:line="360" w:lineRule="auto"/>
        <w:ind w:left="1134"/>
        <w:rPr>
          <w:lang w:eastAsia="en-NZ"/>
        </w:rPr>
      </w:pPr>
      <w:r w:rsidRPr="002F6799">
        <w:rPr>
          <w:lang w:eastAsia="en-NZ"/>
        </w:rPr>
        <w:t xml:space="preserve">There is a current </w:t>
      </w:r>
      <w:r>
        <w:rPr>
          <w:lang w:eastAsia="en-NZ"/>
        </w:rPr>
        <w:t xml:space="preserve">application seeking </w:t>
      </w:r>
      <w:r w:rsidRPr="002F6799">
        <w:rPr>
          <w:lang w:eastAsia="en-NZ"/>
        </w:rPr>
        <w:t xml:space="preserve">assistance of $8 million from the </w:t>
      </w:r>
      <w:r>
        <w:rPr>
          <w:lang w:eastAsia="en-NZ"/>
        </w:rPr>
        <w:t>BOPRC</w:t>
      </w:r>
      <w:r w:rsidRPr="002F6799">
        <w:rPr>
          <w:lang w:eastAsia="en-NZ"/>
        </w:rPr>
        <w:t xml:space="preserve"> infrastructure fund to assist 6 land trusts with capacity to build 200 homes.  </w:t>
      </w:r>
    </w:p>
    <w:p w:rsidR="001D1E59" w:rsidRPr="002F6799" w:rsidRDefault="001D1E59" w:rsidP="00D17AD7">
      <w:pPr>
        <w:numPr>
          <w:ilvl w:val="0"/>
          <w:numId w:val="7"/>
        </w:numPr>
        <w:autoSpaceDE w:val="0"/>
        <w:autoSpaceDN w:val="0"/>
        <w:adjustRightInd w:val="0"/>
        <w:spacing w:line="360" w:lineRule="auto"/>
        <w:ind w:left="1134"/>
        <w:rPr>
          <w:lang w:eastAsia="en-NZ"/>
        </w:rPr>
      </w:pPr>
      <w:r w:rsidRPr="002F6799">
        <w:rPr>
          <w:lang w:eastAsia="en-NZ"/>
        </w:rPr>
        <w:t>There is a current proposal from another trusts seeking capital funding to build 21 homes in 2014. </w:t>
      </w:r>
    </w:p>
    <w:p w:rsidR="001D1E59" w:rsidRPr="002F6799" w:rsidRDefault="001D1E59" w:rsidP="00193BB6">
      <w:pPr>
        <w:autoSpaceDE w:val="0"/>
        <w:autoSpaceDN w:val="0"/>
        <w:adjustRightInd w:val="0"/>
        <w:spacing w:line="360" w:lineRule="auto"/>
        <w:ind w:left="720"/>
      </w:pPr>
    </w:p>
    <w:p w:rsidR="001D1E59" w:rsidRDefault="001D1E59" w:rsidP="00193BB6">
      <w:pPr>
        <w:autoSpaceDE w:val="0"/>
        <w:autoSpaceDN w:val="0"/>
        <w:adjustRightInd w:val="0"/>
        <w:spacing w:line="360" w:lineRule="auto"/>
        <w:ind w:left="720"/>
      </w:pPr>
      <w:r w:rsidRPr="002F6799">
        <w:t xml:space="preserve">Treaty Settlements </w:t>
      </w:r>
      <w:r>
        <w:t xml:space="preserve">offer additional opportunities including </w:t>
      </w:r>
      <w:r w:rsidRPr="002F6799">
        <w:t>land acquired th</w:t>
      </w:r>
      <w:r>
        <w:t xml:space="preserve">rough the settlement process, first right to buy options of HNZC stock </w:t>
      </w:r>
      <w:r w:rsidRPr="002F6799">
        <w:t xml:space="preserve">for settlement tribes.  </w:t>
      </w:r>
      <w:r>
        <w:t xml:space="preserve">The </w:t>
      </w:r>
      <w:r w:rsidRPr="002F6799">
        <w:t xml:space="preserve">SmartGrowth </w:t>
      </w:r>
      <w:r>
        <w:t>Update should acknowledge the potential t</w:t>
      </w:r>
      <w:r w:rsidRPr="002F6799">
        <w:t xml:space="preserve">o leverage off relationships </w:t>
      </w:r>
      <w:r>
        <w:t xml:space="preserve">with </w:t>
      </w:r>
      <w:r w:rsidRPr="002F6799">
        <w:t xml:space="preserve">central government to unlock these rights earlier rather than later.  Further detail on these is included in the </w:t>
      </w:r>
      <w:r w:rsidR="002A01E7">
        <w:t>SmartGrowth</w:t>
      </w:r>
      <w:r>
        <w:t xml:space="preserve"> Update </w:t>
      </w:r>
      <w:r w:rsidRPr="00193BB6">
        <w:rPr>
          <w:i/>
        </w:rPr>
        <w:t>Post Treaty Settlement Development Perspectives Report</w:t>
      </w:r>
      <w:r w:rsidRPr="002F6799">
        <w:t xml:space="preserve">.  </w:t>
      </w:r>
    </w:p>
    <w:p w:rsidR="002A01E7" w:rsidRPr="002A01E7" w:rsidRDefault="002A01E7" w:rsidP="002A01E7">
      <w:pPr>
        <w:pStyle w:val="Heading1"/>
      </w:pPr>
      <w:bookmarkStart w:id="21" w:name="_Toc338427796"/>
      <w:r w:rsidRPr="002A01E7">
        <w:t>CONCLUSION</w:t>
      </w:r>
      <w:bookmarkEnd w:id="21"/>
    </w:p>
    <w:p w:rsidR="002A01E7" w:rsidRPr="002A01E7" w:rsidRDefault="002A01E7" w:rsidP="002A01E7">
      <w:pPr>
        <w:rPr>
          <w:lang w:val="en-GB"/>
        </w:rPr>
      </w:pPr>
    </w:p>
    <w:p w:rsidR="002A01E7" w:rsidRPr="002A01E7" w:rsidRDefault="002A01E7" w:rsidP="002A01E7">
      <w:pPr>
        <w:spacing w:line="360" w:lineRule="auto"/>
        <w:ind w:left="720"/>
        <w:rPr>
          <w:lang w:val="en-GB"/>
        </w:rPr>
      </w:pPr>
      <w:r w:rsidRPr="002A01E7">
        <w:rPr>
          <w:lang w:val="en-GB"/>
        </w:rPr>
        <w:t>There has been significant research conducted internationally and nationally on this issue.  However, progress in addressing housing affordability in New Zealand is slow, partly due to the complexity of contributing factors and the lack of willingness at all levels to address this issue collaboratively.</w:t>
      </w:r>
    </w:p>
    <w:p w:rsidR="002A01E7" w:rsidRPr="002A01E7" w:rsidRDefault="002A01E7" w:rsidP="002A01E7">
      <w:pPr>
        <w:spacing w:line="360" w:lineRule="auto"/>
        <w:ind w:left="720"/>
        <w:rPr>
          <w:lang w:val="en-GB"/>
        </w:rPr>
      </w:pPr>
    </w:p>
    <w:p w:rsidR="002A01E7" w:rsidRPr="002A01E7" w:rsidRDefault="002A01E7" w:rsidP="002A01E7">
      <w:pPr>
        <w:spacing w:line="360" w:lineRule="auto"/>
        <w:ind w:left="720"/>
        <w:rPr>
          <w:lang w:val="en-GB"/>
        </w:rPr>
      </w:pPr>
      <w:r w:rsidRPr="002A01E7">
        <w:rPr>
          <w:lang w:val="en-GB"/>
        </w:rPr>
        <w:t>Also New Zealand governments in recent years have been reluctant to return to some of the earlier means of ensuring people are adequately housed. For example, the state producing an adequate supply of rental housing to meet demand or lending funds at a lower rate than the market interest rate to provide housing access for a greater number of people.</w:t>
      </w:r>
    </w:p>
    <w:p w:rsidR="002A01E7" w:rsidRPr="002A01E7" w:rsidRDefault="002A01E7" w:rsidP="002A01E7">
      <w:pPr>
        <w:spacing w:line="360" w:lineRule="auto"/>
        <w:ind w:left="720"/>
        <w:rPr>
          <w:lang w:val="en-GB"/>
        </w:rPr>
      </w:pPr>
    </w:p>
    <w:p w:rsidR="002A01E7" w:rsidRPr="002A01E7" w:rsidRDefault="002A01E7" w:rsidP="002A01E7">
      <w:pPr>
        <w:spacing w:line="360" w:lineRule="auto"/>
        <w:ind w:left="720"/>
        <w:rPr>
          <w:lang w:val="en-GB"/>
        </w:rPr>
      </w:pPr>
      <w:r w:rsidRPr="002A01E7">
        <w:rPr>
          <w:lang w:val="en-GB"/>
        </w:rPr>
        <w:t>Given the Government’s post GFC financial situation it is unlikely that there will be any significant housing affordability interventions in the foreseeable future part from small-scale social housing initiatives. The Government’s focus is on returning its accounts to a position of financial surplus.</w:t>
      </w:r>
    </w:p>
    <w:p w:rsidR="002A01E7" w:rsidRPr="002A01E7" w:rsidRDefault="002A01E7" w:rsidP="002A01E7">
      <w:pPr>
        <w:spacing w:line="360" w:lineRule="auto"/>
        <w:ind w:left="720"/>
        <w:rPr>
          <w:lang w:val="en-GB"/>
        </w:rPr>
      </w:pPr>
    </w:p>
    <w:p w:rsidR="002A01E7" w:rsidRPr="002A01E7" w:rsidRDefault="002A01E7" w:rsidP="002A01E7">
      <w:pPr>
        <w:spacing w:line="360" w:lineRule="auto"/>
        <w:ind w:left="720"/>
        <w:rPr>
          <w:lang w:val="en-GB"/>
        </w:rPr>
      </w:pPr>
      <w:r w:rsidRPr="002A01E7">
        <w:rPr>
          <w:lang w:val="en-GB"/>
        </w:rPr>
        <w:t>This SmartGrowth Update project provides an opportunity to review the role of SmartGrowth partners and other strategic groups in influencing the complex issue of delivering affordable housing in the western Bay of Plenty. It is also acknowledged that there are already a number of housing initiatives and funding packages that have gained some traction, albeit on a small scale in the sub-region. The challenge is whether the collaborative entity that is SmartGrowth can strongly influence the delivery of affordable housing outcomes on a wider scale given the breadth of the problem.</w:t>
      </w:r>
    </w:p>
    <w:p w:rsidR="002A01E7" w:rsidRPr="002A01E7" w:rsidRDefault="002A01E7" w:rsidP="002A01E7">
      <w:pPr>
        <w:spacing w:line="360" w:lineRule="auto"/>
        <w:ind w:left="720"/>
        <w:rPr>
          <w:lang w:val="en-GB"/>
        </w:rPr>
      </w:pPr>
    </w:p>
    <w:p w:rsidR="002A01E7" w:rsidRPr="002A01E7" w:rsidRDefault="002A01E7" w:rsidP="002A01E7">
      <w:pPr>
        <w:spacing w:line="360" w:lineRule="auto"/>
        <w:ind w:left="720"/>
        <w:rPr>
          <w:lang w:val="en-GB"/>
        </w:rPr>
      </w:pPr>
      <w:r w:rsidRPr="002A01E7">
        <w:rPr>
          <w:lang w:val="en-GB"/>
        </w:rPr>
        <w:t>This paper suggests that there are some aspects that affect the cost of new housing that SmartGrowth could influence, these being aspects of:</w:t>
      </w:r>
    </w:p>
    <w:p w:rsidR="002A01E7" w:rsidRPr="002A01E7" w:rsidRDefault="002A01E7" w:rsidP="00D17AD7">
      <w:pPr>
        <w:pStyle w:val="ListParagraph"/>
        <w:numPr>
          <w:ilvl w:val="0"/>
          <w:numId w:val="27"/>
        </w:numPr>
        <w:spacing w:line="360" w:lineRule="auto"/>
        <w:ind w:left="1134"/>
        <w:rPr>
          <w:sz w:val="22"/>
          <w:szCs w:val="22"/>
          <w:lang w:val="en-GB"/>
        </w:rPr>
      </w:pPr>
      <w:r w:rsidRPr="002A01E7">
        <w:rPr>
          <w:sz w:val="22"/>
          <w:szCs w:val="22"/>
          <w:lang w:val="en-GB"/>
        </w:rPr>
        <w:t>Land development costs</w:t>
      </w:r>
    </w:p>
    <w:p w:rsidR="002A01E7" w:rsidRPr="002A01E7" w:rsidRDefault="002A01E7" w:rsidP="00D17AD7">
      <w:pPr>
        <w:pStyle w:val="ListParagraph"/>
        <w:numPr>
          <w:ilvl w:val="0"/>
          <w:numId w:val="27"/>
        </w:numPr>
        <w:spacing w:line="360" w:lineRule="auto"/>
        <w:ind w:left="1134"/>
        <w:rPr>
          <w:sz w:val="22"/>
          <w:szCs w:val="22"/>
          <w:lang w:val="en-GB"/>
        </w:rPr>
      </w:pPr>
      <w:r w:rsidRPr="002A01E7">
        <w:rPr>
          <w:sz w:val="22"/>
          <w:szCs w:val="22"/>
          <w:lang w:val="en-GB"/>
        </w:rPr>
        <w:t>Building costs</w:t>
      </w:r>
    </w:p>
    <w:p w:rsidR="002A01E7" w:rsidRPr="002A01E7" w:rsidRDefault="002A01E7" w:rsidP="00D17AD7">
      <w:pPr>
        <w:pStyle w:val="ListParagraph"/>
        <w:numPr>
          <w:ilvl w:val="0"/>
          <w:numId w:val="27"/>
        </w:numPr>
        <w:spacing w:line="360" w:lineRule="auto"/>
        <w:ind w:left="1134"/>
        <w:rPr>
          <w:sz w:val="22"/>
          <w:szCs w:val="22"/>
          <w:lang w:val="en-GB"/>
        </w:rPr>
      </w:pPr>
      <w:r w:rsidRPr="002A01E7">
        <w:rPr>
          <w:sz w:val="22"/>
          <w:szCs w:val="22"/>
          <w:lang w:val="en-GB"/>
        </w:rPr>
        <w:t>Leadership, Ownership and Funding</w:t>
      </w:r>
    </w:p>
    <w:p w:rsidR="002A01E7" w:rsidRPr="002A01E7" w:rsidRDefault="002A01E7" w:rsidP="002A01E7">
      <w:pPr>
        <w:spacing w:line="360" w:lineRule="auto"/>
        <w:ind w:left="720"/>
        <w:rPr>
          <w:lang w:val="en-GB"/>
        </w:rPr>
      </w:pPr>
      <w:r w:rsidRPr="002A01E7">
        <w:rPr>
          <w:lang w:val="en-GB"/>
        </w:rPr>
        <w:t>In simple terms, to make housing more affordable either the cost of housing needs to be reduced or some party needs to pay for at least part of the cost, through active intervention. SmartGrowth has only an indirect influence over raising household incomes to assist people to meet their housing needs.</w:t>
      </w:r>
    </w:p>
    <w:p w:rsidR="002A01E7" w:rsidRPr="002A01E7" w:rsidRDefault="002A01E7" w:rsidP="002A01E7">
      <w:pPr>
        <w:spacing w:line="276" w:lineRule="auto"/>
        <w:ind w:left="720"/>
        <w:rPr>
          <w:lang w:val="en-GB"/>
        </w:rPr>
      </w:pPr>
    </w:p>
    <w:p w:rsidR="002A01E7" w:rsidRDefault="002A01E7" w:rsidP="002A01E7">
      <w:pPr>
        <w:spacing w:line="360" w:lineRule="auto"/>
        <w:ind w:left="720"/>
        <w:rPr>
          <w:lang w:val="en-GB"/>
        </w:rPr>
      </w:pPr>
      <w:r w:rsidRPr="002A01E7">
        <w:rPr>
          <w:lang w:val="en-GB"/>
        </w:rPr>
        <w:t>The Policy options to be considered are:</w:t>
      </w:r>
    </w:p>
    <w:p w:rsidR="00E92C4D" w:rsidRPr="002A01E7" w:rsidRDefault="00E92C4D" w:rsidP="002A01E7">
      <w:pPr>
        <w:spacing w:line="360" w:lineRule="auto"/>
        <w:ind w:left="720"/>
        <w:rPr>
          <w:lang w:val="en-GB"/>
        </w:rPr>
      </w:pPr>
    </w:p>
    <w:p w:rsidR="002A01E7" w:rsidRPr="002A01E7" w:rsidRDefault="002A01E7" w:rsidP="002A01E7">
      <w:pPr>
        <w:spacing w:line="360" w:lineRule="auto"/>
        <w:ind w:left="720"/>
        <w:rPr>
          <w:lang w:val="en-GB"/>
        </w:rPr>
      </w:pPr>
    </w:p>
    <w:p w:rsidR="002A01E7" w:rsidRDefault="002A01E7" w:rsidP="002A01E7">
      <w:pPr>
        <w:tabs>
          <w:tab w:val="left" w:pos="-1440"/>
          <w:tab w:val="left" w:pos="2160"/>
          <w:tab w:val="left" w:pos="2880"/>
          <w:tab w:val="left" w:pos="5040"/>
          <w:tab w:val="left" w:pos="5760"/>
          <w:tab w:val="left" w:pos="6480"/>
          <w:tab w:val="left" w:pos="7200"/>
        </w:tabs>
        <w:ind w:left="709" w:hanging="709"/>
        <w:outlineLvl w:val="1"/>
        <w:rPr>
          <w:rFonts w:ascii="Arial Bold" w:hAnsi="Arial Bold"/>
          <w:b/>
          <w:lang w:val="en-GB"/>
        </w:rPr>
      </w:pPr>
      <w:r w:rsidRPr="002A01E7">
        <w:rPr>
          <w:rFonts w:ascii="Arial Bold" w:hAnsi="Arial Bold"/>
          <w:b/>
          <w:lang w:val="en-GB"/>
        </w:rPr>
        <w:t xml:space="preserve">6.1 </w:t>
      </w:r>
      <w:r w:rsidRPr="002A01E7">
        <w:rPr>
          <w:rFonts w:ascii="Arial Bold" w:hAnsi="Arial Bold"/>
          <w:b/>
          <w:lang w:val="en-GB"/>
        </w:rPr>
        <w:tab/>
        <w:t>Option 1: Status Quo</w:t>
      </w:r>
    </w:p>
    <w:p w:rsidR="002A01E7" w:rsidRPr="002A01E7" w:rsidRDefault="002A01E7" w:rsidP="002A01E7">
      <w:pPr>
        <w:tabs>
          <w:tab w:val="left" w:pos="-1440"/>
          <w:tab w:val="left" w:pos="2160"/>
          <w:tab w:val="left" w:pos="2880"/>
          <w:tab w:val="left" w:pos="5040"/>
          <w:tab w:val="left" w:pos="5760"/>
          <w:tab w:val="left" w:pos="6480"/>
          <w:tab w:val="left" w:pos="7200"/>
        </w:tabs>
        <w:ind w:left="709" w:hanging="709"/>
        <w:outlineLvl w:val="1"/>
        <w:rPr>
          <w:rFonts w:ascii="Arial Bold" w:hAnsi="Arial Bold"/>
          <w:b/>
          <w:lang w:val="en-GB"/>
        </w:rPr>
      </w:pPr>
    </w:p>
    <w:p w:rsidR="002A01E7" w:rsidRPr="002A01E7" w:rsidRDefault="002A01E7" w:rsidP="002A01E7">
      <w:pPr>
        <w:spacing w:line="360" w:lineRule="auto"/>
        <w:ind w:left="720"/>
        <w:rPr>
          <w:lang w:val="en-GB"/>
        </w:rPr>
      </w:pPr>
      <w:r w:rsidRPr="002A01E7">
        <w:rPr>
          <w:lang w:val="en-GB"/>
        </w:rPr>
        <w:t>This option continues the current role and function of council’s of maintaining investment in efficient infrastructure.. The current elderly persons’ housing property portfolio is maintained.</w:t>
      </w:r>
    </w:p>
    <w:p w:rsidR="002A01E7" w:rsidRPr="002A01E7" w:rsidRDefault="002A01E7" w:rsidP="002A01E7">
      <w:pPr>
        <w:spacing w:line="360" w:lineRule="auto"/>
        <w:ind w:left="720"/>
        <w:rPr>
          <w:b/>
          <w:lang w:val="en-GB"/>
        </w:rPr>
      </w:pPr>
    </w:p>
    <w:p w:rsidR="002A01E7" w:rsidRPr="002A01E7" w:rsidRDefault="002A01E7" w:rsidP="002A01E7">
      <w:pPr>
        <w:spacing w:line="360" w:lineRule="auto"/>
        <w:rPr>
          <w:b/>
          <w:lang w:val="en-GB"/>
        </w:rPr>
      </w:pPr>
      <w:r w:rsidRPr="002A01E7">
        <w:rPr>
          <w:b/>
          <w:lang w:val="en-GB"/>
        </w:rPr>
        <w:t xml:space="preserve">6.1.1 </w:t>
      </w:r>
      <w:r w:rsidRPr="002A01E7">
        <w:rPr>
          <w:b/>
          <w:lang w:val="en-GB"/>
        </w:rPr>
        <w:tab/>
        <w:t>Examples of actions aligning with Status Quo approach</w:t>
      </w:r>
    </w:p>
    <w:p w:rsidR="002A01E7" w:rsidRPr="002A01E7" w:rsidRDefault="002A01E7" w:rsidP="002A01E7">
      <w:pPr>
        <w:spacing w:line="360" w:lineRule="auto"/>
        <w:ind w:left="720"/>
        <w:rPr>
          <w:u w:val="single"/>
          <w:lang w:val="en-GB"/>
        </w:rPr>
      </w:pPr>
      <w:r w:rsidRPr="002A01E7">
        <w:rPr>
          <w:u w:val="single"/>
          <w:lang w:val="en-GB"/>
        </w:rPr>
        <w:t>Land Development Costs</w:t>
      </w:r>
    </w:p>
    <w:p w:rsidR="002A01E7" w:rsidRPr="00D17AD7" w:rsidRDefault="002A01E7" w:rsidP="00D17AD7">
      <w:pPr>
        <w:numPr>
          <w:ilvl w:val="0"/>
          <w:numId w:val="7"/>
        </w:numPr>
        <w:autoSpaceDE w:val="0"/>
        <w:autoSpaceDN w:val="0"/>
        <w:adjustRightInd w:val="0"/>
        <w:spacing w:line="360" w:lineRule="auto"/>
        <w:ind w:left="1134"/>
        <w:rPr>
          <w:lang w:eastAsia="en-NZ"/>
        </w:rPr>
      </w:pPr>
      <w:r w:rsidRPr="00D17AD7">
        <w:rPr>
          <w:lang w:eastAsia="en-NZ"/>
        </w:rPr>
        <w:t>Continue the current practice of maintaining investment in efficient infrastructure, reviewing infrastructure levels of service and continuous review of related development/ financial contributions within Long Term Plans and Annual Plans.</w:t>
      </w:r>
    </w:p>
    <w:p w:rsidR="002A01E7" w:rsidRPr="00D17AD7" w:rsidRDefault="002A01E7" w:rsidP="00D17AD7">
      <w:pPr>
        <w:numPr>
          <w:ilvl w:val="0"/>
          <w:numId w:val="7"/>
        </w:numPr>
        <w:autoSpaceDE w:val="0"/>
        <w:autoSpaceDN w:val="0"/>
        <w:adjustRightInd w:val="0"/>
        <w:spacing w:line="360" w:lineRule="auto"/>
        <w:ind w:left="1134"/>
        <w:rPr>
          <w:lang w:eastAsia="en-NZ"/>
        </w:rPr>
      </w:pPr>
      <w:r w:rsidRPr="00D17AD7">
        <w:rPr>
          <w:lang w:eastAsia="en-NZ"/>
        </w:rPr>
        <w:t>Continue phased timing of development contributions payment on a case-by-case basis</w:t>
      </w:r>
    </w:p>
    <w:p w:rsidR="002A01E7" w:rsidRPr="002A01E7" w:rsidRDefault="002A01E7" w:rsidP="002A01E7">
      <w:pPr>
        <w:spacing w:line="360" w:lineRule="auto"/>
        <w:ind w:left="1440"/>
        <w:rPr>
          <w:lang w:val="en-GB"/>
        </w:rPr>
      </w:pPr>
    </w:p>
    <w:p w:rsidR="002A01E7" w:rsidRPr="002A01E7" w:rsidRDefault="002A01E7" w:rsidP="002A01E7">
      <w:pPr>
        <w:spacing w:line="360" w:lineRule="auto"/>
        <w:ind w:left="720"/>
        <w:rPr>
          <w:u w:val="single"/>
          <w:lang w:val="en-GB"/>
        </w:rPr>
      </w:pPr>
      <w:r w:rsidRPr="002A01E7">
        <w:rPr>
          <w:u w:val="single"/>
          <w:lang w:val="en-GB"/>
        </w:rPr>
        <w:t>Building Costs</w:t>
      </w:r>
    </w:p>
    <w:p w:rsidR="002A01E7" w:rsidRPr="00D17AD7" w:rsidRDefault="002A01E7" w:rsidP="00D17AD7">
      <w:pPr>
        <w:numPr>
          <w:ilvl w:val="0"/>
          <w:numId w:val="7"/>
        </w:numPr>
        <w:autoSpaceDE w:val="0"/>
        <w:autoSpaceDN w:val="0"/>
        <w:adjustRightInd w:val="0"/>
        <w:spacing w:line="360" w:lineRule="auto"/>
        <w:ind w:left="1134"/>
        <w:rPr>
          <w:lang w:eastAsia="en-NZ"/>
        </w:rPr>
      </w:pPr>
      <w:r w:rsidRPr="00D17AD7">
        <w:rPr>
          <w:lang w:eastAsia="en-NZ"/>
        </w:rPr>
        <w:t xml:space="preserve">Continue phased timing of contributions on a case-by-case basis </w:t>
      </w:r>
    </w:p>
    <w:p w:rsidR="002A01E7" w:rsidRPr="00D17AD7" w:rsidRDefault="002A01E7" w:rsidP="00D17AD7">
      <w:pPr>
        <w:numPr>
          <w:ilvl w:val="0"/>
          <w:numId w:val="7"/>
        </w:numPr>
        <w:autoSpaceDE w:val="0"/>
        <w:autoSpaceDN w:val="0"/>
        <w:adjustRightInd w:val="0"/>
        <w:spacing w:line="360" w:lineRule="auto"/>
        <w:ind w:left="1134"/>
        <w:rPr>
          <w:lang w:eastAsia="en-NZ"/>
        </w:rPr>
      </w:pPr>
      <w:r w:rsidRPr="00D17AD7">
        <w:rPr>
          <w:lang w:eastAsia="en-NZ"/>
        </w:rPr>
        <w:t>Continue interim case managers or “package of plans” to facilitate affordable housing projects in a consent process.</w:t>
      </w:r>
    </w:p>
    <w:p w:rsidR="002A01E7" w:rsidRPr="002A01E7" w:rsidRDefault="002A01E7" w:rsidP="002A01E7">
      <w:pPr>
        <w:spacing w:line="360" w:lineRule="auto"/>
        <w:ind w:left="720"/>
        <w:rPr>
          <w:lang w:val="en-GB"/>
        </w:rPr>
      </w:pPr>
    </w:p>
    <w:p w:rsidR="002A01E7" w:rsidRPr="002A01E7" w:rsidRDefault="002A01E7" w:rsidP="002A01E7">
      <w:pPr>
        <w:spacing w:line="360" w:lineRule="auto"/>
        <w:ind w:left="720"/>
        <w:rPr>
          <w:u w:val="single"/>
          <w:lang w:val="en-GB"/>
        </w:rPr>
      </w:pPr>
      <w:r w:rsidRPr="002A01E7">
        <w:rPr>
          <w:u w:val="single"/>
          <w:lang w:val="en-GB"/>
        </w:rPr>
        <w:t>Leadership, Ownership and Funding</w:t>
      </w:r>
    </w:p>
    <w:p w:rsidR="002A01E7" w:rsidRPr="00D17AD7" w:rsidRDefault="002A01E7" w:rsidP="00D17AD7">
      <w:pPr>
        <w:numPr>
          <w:ilvl w:val="0"/>
          <w:numId w:val="7"/>
        </w:numPr>
        <w:autoSpaceDE w:val="0"/>
        <w:autoSpaceDN w:val="0"/>
        <w:adjustRightInd w:val="0"/>
        <w:spacing w:line="360" w:lineRule="auto"/>
        <w:ind w:left="1134"/>
        <w:rPr>
          <w:lang w:eastAsia="en-NZ"/>
        </w:rPr>
      </w:pPr>
      <w:r w:rsidRPr="00D17AD7">
        <w:rPr>
          <w:lang w:eastAsia="en-NZ"/>
        </w:rPr>
        <w:t>Retain Council housing stock in Council/third sector and upgrade condition of units to an acceptable rental standard where required.</w:t>
      </w:r>
    </w:p>
    <w:p w:rsidR="002A01E7" w:rsidRPr="002A01E7" w:rsidRDefault="002A01E7" w:rsidP="002A01E7">
      <w:pPr>
        <w:spacing w:line="360" w:lineRule="auto"/>
        <w:ind w:left="720"/>
        <w:rPr>
          <w:b/>
          <w:lang w:val="en-GB"/>
        </w:rPr>
      </w:pPr>
    </w:p>
    <w:p w:rsidR="002A01E7" w:rsidRDefault="002A01E7" w:rsidP="002A01E7">
      <w:pPr>
        <w:tabs>
          <w:tab w:val="left" w:pos="-1440"/>
          <w:tab w:val="left" w:pos="2160"/>
          <w:tab w:val="left" w:pos="2880"/>
          <w:tab w:val="left" w:pos="5040"/>
          <w:tab w:val="left" w:pos="5760"/>
          <w:tab w:val="left" w:pos="6480"/>
          <w:tab w:val="left" w:pos="7200"/>
        </w:tabs>
        <w:ind w:left="709" w:hanging="709"/>
        <w:outlineLvl w:val="1"/>
        <w:rPr>
          <w:rFonts w:ascii="Arial Bold" w:hAnsi="Arial Bold"/>
          <w:b/>
          <w:lang w:val="en-GB"/>
        </w:rPr>
      </w:pPr>
      <w:r w:rsidRPr="002A01E7">
        <w:rPr>
          <w:rFonts w:ascii="Arial Bold" w:hAnsi="Arial Bold"/>
          <w:b/>
          <w:lang w:val="en-GB"/>
        </w:rPr>
        <w:t xml:space="preserve">6.2 </w:t>
      </w:r>
      <w:r w:rsidRPr="002A01E7">
        <w:rPr>
          <w:rFonts w:ascii="Arial Bold" w:hAnsi="Arial Bold"/>
          <w:b/>
          <w:lang w:val="en-GB"/>
        </w:rPr>
        <w:tab/>
        <w:t>Option 2: Incremental Improvement</w:t>
      </w:r>
    </w:p>
    <w:p w:rsidR="002A01E7" w:rsidRPr="002A01E7" w:rsidRDefault="002A01E7" w:rsidP="002A01E7">
      <w:pPr>
        <w:tabs>
          <w:tab w:val="left" w:pos="-1440"/>
          <w:tab w:val="left" w:pos="2160"/>
          <w:tab w:val="left" w:pos="2880"/>
          <w:tab w:val="left" w:pos="5040"/>
          <w:tab w:val="left" w:pos="5760"/>
          <w:tab w:val="left" w:pos="6480"/>
          <w:tab w:val="left" w:pos="7200"/>
        </w:tabs>
        <w:ind w:left="709" w:hanging="709"/>
        <w:outlineLvl w:val="1"/>
        <w:rPr>
          <w:rFonts w:ascii="Arial Bold" w:hAnsi="Arial Bold"/>
          <w:b/>
          <w:lang w:val="en-GB"/>
        </w:rPr>
      </w:pPr>
    </w:p>
    <w:p w:rsidR="002A01E7" w:rsidRPr="002A01E7" w:rsidRDefault="002A01E7" w:rsidP="002A01E7">
      <w:pPr>
        <w:spacing w:line="360" w:lineRule="auto"/>
        <w:ind w:left="720"/>
        <w:rPr>
          <w:lang w:val="en-GB"/>
        </w:rPr>
      </w:pPr>
      <w:r w:rsidRPr="002A01E7">
        <w:rPr>
          <w:lang w:val="en-GB"/>
        </w:rPr>
        <w:t>This option</w:t>
      </w:r>
      <w:r w:rsidRPr="002A01E7">
        <w:rPr>
          <w:b/>
          <w:lang w:val="en-GB"/>
        </w:rPr>
        <w:t xml:space="preserve"> </w:t>
      </w:r>
      <w:r w:rsidRPr="002A01E7">
        <w:rPr>
          <w:u w:val="single"/>
          <w:lang w:val="en-GB"/>
        </w:rPr>
        <w:t>adds to</w:t>
      </w:r>
      <w:r w:rsidRPr="002A01E7">
        <w:rPr>
          <w:lang w:val="en-GB"/>
        </w:rPr>
        <w:t xml:space="preserve"> the status quo actions. It suggests gradual and steady review and appropriate adjustments to in planning policy and rules following active engagement of local developers and other interest groups on potential barriers to affordable housing delivery. More efficient use of the current elderly persons’ housing property portfolio is explored. </w:t>
      </w:r>
    </w:p>
    <w:p w:rsidR="002A01E7" w:rsidRPr="002A01E7" w:rsidRDefault="002A01E7" w:rsidP="002A01E7">
      <w:pPr>
        <w:spacing w:line="360" w:lineRule="auto"/>
        <w:ind w:left="720"/>
        <w:rPr>
          <w:b/>
          <w:lang w:val="en-GB"/>
        </w:rPr>
      </w:pPr>
    </w:p>
    <w:p w:rsidR="002A01E7" w:rsidRPr="002A01E7" w:rsidRDefault="002A01E7" w:rsidP="002A01E7">
      <w:pPr>
        <w:spacing w:line="360" w:lineRule="auto"/>
        <w:rPr>
          <w:b/>
          <w:lang w:val="en-GB"/>
        </w:rPr>
      </w:pPr>
      <w:r w:rsidRPr="002A01E7">
        <w:rPr>
          <w:b/>
          <w:lang w:val="en-GB"/>
        </w:rPr>
        <w:t xml:space="preserve">6.2.1 </w:t>
      </w:r>
      <w:r w:rsidRPr="002A01E7">
        <w:rPr>
          <w:b/>
          <w:lang w:val="en-GB"/>
        </w:rPr>
        <w:tab/>
        <w:t>Examples of actions aligning with Incremental Improvement approach</w:t>
      </w:r>
    </w:p>
    <w:p w:rsidR="002A01E7" w:rsidRPr="002A01E7" w:rsidRDefault="002A01E7" w:rsidP="002A01E7">
      <w:pPr>
        <w:spacing w:line="360" w:lineRule="auto"/>
        <w:ind w:left="720"/>
        <w:rPr>
          <w:u w:val="single"/>
          <w:lang w:val="en-GB"/>
        </w:rPr>
      </w:pPr>
      <w:r w:rsidRPr="002A01E7">
        <w:rPr>
          <w:u w:val="single"/>
          <w:lang w:val="en-GB"/>
        </w:rPr>
        <w:t>Land Development Costs</w:t>
      </w:r>
    </w:p>
    <w:p w:rsidR="002A01E7" w:rsidRPr="00D17AD7" w:rsidRDefault="002A01E7" w:rsidP="00D17AD7">
      <w:pPr>
        <w:numPr>
          <w:ilvl w:val="0"/>
          <w:numId w:val="7"/>
        </w:numPr>
        <w:autoSpaceDE w:val="0"/>
        <w:autoSpaceDN w:val="0"/>
        <w:adjustRightInd w:val="0"/>
        <w:spacing w:line="360" w:lineRule="auto"/>
        <w:ind w:left="1134"/>
        <w:rPr>
          <w:lang w:eastAsia="en-NZ"/>
        </w:rPr>
      </w:pPr>
      <w:r w:rsidRPr="00D17AD7">
        <w:rPr>
          <w:lang w:eastAsia="en-NZ"/>
        </w:rPr>
        <w:t>Continuous review and improvements in planning policy and process in relation to housing delivery</w:t>
      </w:r>
    </w:p>
    <w:p w:rsidR="002A01E7" w:rsidRPr="002A01E7" w:rsidRDefault="002A01E7" w:rsidP="002A01E7">
      <w:pPr>
        <w:spacing w:line="360" w:lineRule="auto"/>
        <w:ind w:left="1440"/>
        <w:rPr>
          <w:u w:val="single"/>
          <w:lang w:val="en-GB"/>
        </w:rPr>
      </w:pPr>
    </w:p>
    <w:p w:rsidR="002A01E7" w:rsidRPr="002A01E7" w:rsidRDefault="002A01E7" w:rsidP="002A01E7">
      <w:pPr>
        <w:spacing w:line="360" w:lineRule="auto"/>
        <w:ind w:left="720"/>
        <w:rPr>
          <w:u w:val="single"/>
          <w:lang w:val="en-GB"/>
        </w:rPr>
      </w:pPr>
      <w:r w:rsidRPr="002A01E7">
        <w:rPr>
          <w:u w:val="single"/>
          <w:lang w:val="en-GB"/>
        </w:rPr>
        <w:t>Building Costs</w:t>
      </w:r>
    </w:p>
    <w:p w:rsidR="002A01E7" w:rsidRPr="00D17AD7" w:rsidRDefault="002A01E7" w:rsidP="00D17AD7">
      <w:pPr>
        <w:numPr>
          <w:ilvl w:val="0"/>
          <w:numId w:val="7"/>
        </w:numPr>
        <w:autoSpaceDE w:val="0"/>
        <w:autoSpaceDN w:val="0"/>
        <w:adjustRightInd w:val="0"/>
        <w:spacing w:line="360" w:lineRule="auto"/>
        <w:ind w:left="1134"/>
        <w:rPr>
          <w:lang w:eastAsia="en-NZ"/>
        </w:rPr>
      </w:pPr>
      <w:r w:rsidRPr="00D17AD7">
        <w:rPr>
          <w:lang w:eastAsia="en-NZ"/>
        </w:rPr>
        <w:t>Consider developing flexible design criteria and review of density rules to allow smaller dwellings on smaller lots</w:t>
      </w:r>
    </w:p>
    <w:p w:rsidR="002A01E7" w:rsidRPr="002A01E7" w:rsidRDefault="002A01E7" w:rsidP="002A01E7">
      <w:pPr>
        <w:spacing w:line="360" w:lineRule="auto"/>
        <w:rPr>
          <w:rFonts w:ascii="ArialMT" w:hAnsi="ArialMT" w:cs="ArialMT"/>
        </w:rPr>
      </w:pPr>
    </w:p>
    <w:p w:rsidR="002A01E7" w:rsidRPr="002A01E7" w:rsidRDefault="002A01E7" w:rsidP="002A01E7">
      <w:pPr>
        <w:spacing w:line="360" w:lineRule="auto"/>
        <w:ind w:left="720"/>
        <w:rPr>
          <w:u w:val="single"/>
          <w:lang w:val="en-GB"/>
        </w:rPr>
      </w:pPr>
      <w:r w:rsidRPr="002A01E7">
        <w:rPr>
          <w:u w:val="single"/>
          <w:lang w:val="en-GB"/>
        </w:rPr>
        <w:t xml:space="preserve">Leadership, Ownership and Funding </w:t>
      </w:r>
    </w:p>
    <w:p w:rsidR="002A01E7" w:rsidRPr="00D17AD7" w:rsidRDefault="002A01E7" w:rsidP="00D17AD7">
      <w:pPr>
        <w:numPr>
          <w:ilvl w:val="0"/>
          <w:numId w:val="7"/>
        </w:numPr>
        <w:autoSpaceDE w:val="0"/>
        <w:autoSpaceDN w:val="0"/>
        <w:adjustRightInd w:val="0"/>
        <w:spacing w:line="360" w:lineRule="auto"/>
        <w:ind w:left="1134"/>
        <w:rPr>
          <w:lang w:eastAsia="en-NZ"/>
        </w:rPr>
      </w:pPr>
      <w:r w:rsidRPr="00D17AD7">
        <w:rPr>
          <w:lang w:eastAsia="en-NZ"/>
        </w:rPr>
        <w:t>Review Council policies to support</w:t>
      </w:r>
      <w:r w:rsidR="0016659F" w:rsidRPr="00D17AD7">
        <w:rPr>
          <w:lang w:eastAsia="en-NZ"/>
        </w:rPr>
        <w:t xml:space="preserve"> social housing</w:t>
      </w:r>
      <w:r w:rsidRPr="00D17AD7">
        <w:rPr>
          <w:lang w:eastAsia="en-NZ"/>
        </w:rPr>
        <w:t>. Investigate the potential to offset Council fees for social housing proposals</w:t>
      </w:r>
    </w:p>
    <w:p w:rsidR="002A01E7" w:rsidRPr="00D17AD7" w:rsidRDefault="002A01E7" w:rsidP="00D17AD7">
      <w:pPr>
        <w:numPr>
          <w:ilvl w:val="0"/>
          <w:numId w:val="7"/>
        </w:numPr>
        <w:autoSpaceDE w:val="0"/>
        <w:autoSpaceDN w:val="0"/>
        <w:adjustRightInd w:val="0"/>
        <w:spacing w:line="360" w:lineRule="auto"/>
        <w:ind w:left="1134"/>
        <w:rPr>
          <w:lang w:eastAsia="en-NZ"/>
        </w:rPr>
      </w:pPr>
      <w:r w:rsidRPr="00D17AD7">
        <w:rPr>
          <w:lang w:eastAsia="en-NZ"/>
        </w:rPr>
        <w:t>Explore the potential for more efficient use of the council’s elderly persons’ housing property portfolio.</w:t>
      </w:r>
    </w:p>
    <w:p w:rsidR="002A01E7" w:rsidRPr="00D17AD7" w:rsidRDefault="002A01E7" w:rsidP="00D17AD7">
      <w:pPr>
        <w:numPr>
          <w:ilvl w:val="0"/>
          <w:numId w:val="7"/>
        </w:numPr>
        <w:autoSpaceDE w:val="0"/>
        <w:autoSpaceDN w:val="0"/>
        <w:adjustRightInd w:val="0"/>
        <w:spacing w:line="360" w:lineRule="auto"/>
        <w:ind w:left="1134"/>
        <w:rPr>
          <w:lang w:eastAsia="en-NZ"/>
        </w:rPr>
      </w:pPr>
      <w:r w:rsidRPr="00D17AD7">
        <w:rPr>
          <w:lang w:eastAsia="en-NZ"/>
        </w:rPr>
        <w:t>Develop and initiate education and awareness programmes and initiatives on affordable housing e.g. benefits of smaller dwellings</w:t>
      </w:r>
    </w:p>
    <w:p w:rsidR="002A01E7" w:rsidRPr="00D17AD7" w:rsidRDefault="002A01E7" w:rsidP="00D17AD7">
      <w:pPr>
        <w:numPr>
          <w:ilvl w:val="0"/>
          <w:numId w:val="7"/>
        </w:numPr>
        <w:autoSpaceDE w:val="0"/>
        <w:autoSpaceDN w:val="0"/>
        <w:adjustRightInd w:val="0"/>
        <w:spacing w:line="360" w:lineRule="auto"/>
        <w:ind w:left="1134"/>
        <w:rPr>
          <w:lang w:eastAsia="en-NZ"/>
        </w:rPr>
      </w:pPr>
      <w:r w:rsidRPr="00D17AD7">
        <w:rPr>
          <w:lang w:eastAsia="en-NZ"/>
        </w:rPr>
        <w:t>SmartGrowth lobby central government to provide financial levers such as tax incentives, to encourage a greater flow of capital investment into affordable housing projects</w:t>
      </w:r>
    </w:p>
    <w:p w:rsidR="002A01E7" w:rsidRPr="002A01E7" w:rsidRDefault="002A01E7" w:rsidP="002A01E7">
      <w:pPr>
        <w:spacing w:line="360" w:lineRule="auto"/>
        <w:ind w:left="1440"/>
        <w:rPr>
          <w:lang w:val="en-GB"/>
        </w:rPr>
      </w:pPr>
    </w:p>
    <w:p w:rsidR="002A01E7" w:rsidRPr="002A01E7" w:rsidRDefault="002A01E7" w:rsidP="002A01E7">
      <w:pPr>
        <w:spacing w:line="360" w:lineRule="auto"/>
        <w:rPr>
          <w:b/>
          <w:lang w:val="en-GB"/>
        </w:rPr>
      </w:pPr>
      <w:r w:rsidRPr="002A01E7">
        <w:rPr>
          <w:b/>
          <w:lang w:val="en-GB"/>
        </w:rPr>
        <w:t xml:space="preserve">6.3 </w:t>
      </w:r>
      <w:r w:rsidRPr="002A01E7">
        <w:rPr>
          <w:b/>
          <w:lang w:val="en-GB"/>
        </w:rPr>
        <w:tab/>
        <w:t>Option 3: Proactive Leadership</w:t>
      </w:r>
    </w:p>
    <w:p w:rsidR="002A01E7" w:rsidRPr="002A01E7" w:rsidRDefault="002A01E7" w:rsidP="002A01E7">
      <w:pPr>
        <w:spacing w:line="360" w:lineRule="auto"/>
        <w:ind w:left="720"/>
        <w:rPr>
          <w:lang w:val="en-GB"/>
        </w:rPr>
      </w:pPr>
      <w:r w:rsidRPr="002A01E7">
        <w:rPr>
          <w:lang w:val="en-GB"/>
        </w:rPr>
        <w:t xml:space="preserve">This option </w:t>
      </w:r>
      <w:r w:rsidRPr="002A01E7">
        <w:rPr>
          <w:u w:val="single"/>
          <w:lang w:val="en-GB"/>
        </w:rPr>
        <w:t>adds to</w:t>
      </w:r>
      <w:r w:rsidRPr="002A01E7">
        <w:rPr>
          <w:lang w:val="en-GB"/>
        </w:rPr>
        <w:t xml:space="preserve"> the status quo and incremental improvement actions.</w:t>
      </w:r>
      <w:r w:rsidRPr="002A01E7">
        <w:rPr>
          <w:b/>
          <w:lang w:val="en-GB"/>
        </w:rPr>
        <w:t xml:space="preserve"> </w:t>
      </w:r>
      <w:r w:rsidRPr="002A01E7">
        <w:rPr>
          <w:lang w:val="en-GB"/>
        </w:rPr>
        <w:t>The focus includes</w:t>
      </w:r>
      <w:r w:rsidRPr="002A01E7">
        <w:rPr>
          <w:b/>
          <w:lang w:val="en-GB"/>
        </w:rPr>
        <w:t xml:space="preserve"> </w:t>
      </w:r>
      <w:r w:rsidRPr="002A01E7">
        <w:rPr>
          <w:lang w:val="en-GB"/>
        </w:rPr>
        <w:t xml:space="preserve">strong advocacy, leadership and facilitation role and actively work with central government agencies, third-sector groups, the development and construction sector and the financial sector to increase the supply of affordable housing in the western BOP sub-region. </w:t>
      </w:r>
    </w:p>
    <w:p w:rsidR="002A01E7" w:rsidRPr="002A01E7" w:rsidRDefault="002A01E7" w:rsidP="002A01E7">
      <w:pPr>
        <w:spacing w:line="360" w:lineRule="auto"/>
        <w:ind w:left="720"/>
        <w:rPr>
          <w:b/>
          <w:lang w:val="en-GB"/>
        </w:rPr>
      </w:pPr>
    </w:p>
    <w:p w:rsidR="002A01E7" w:rsidRPr="002A01E7" w:rsidRDefault="002A01E7" w:rsidP="002A01E7">
      <w:pPr>
        <w:spacing w:line="360" w:lineRule="auto"/>
        <w:rPr>
          <w:b/>
          <w:lang w:val="en-GB"/>
        </w:rPr>
      </w:pPr>
      <w:r w:rsidRPr="002A01E7">
        <w:rPr>
          <w:b/>
          <w:lang w:val="en-GB"/>
        </w:rPr>
        <w:t>6.3.1</w:t>
      </w:r>
      <w:r w:rsidRPr="002A01E7">
        <w:rPr>
          <w:b/>
          <w:lang w:val="en-GB"/>
        </w:rPr>
        <w:tab/>
        <w:t>Examples of actions aligning with Proactive Leadership approach</w:t>
      </w:r>
    </w:p>
    <w:p w:rsidR="002A01E7" w:rsidRPr="002A01E7" w:rsidRDefault="002A01E7" w:rsidP="002A01E7">
      <w:pPr>
        <w:spacing w:line="360" w:lineRule="auto"/>
        <w:ind w:left="720"/>
        <w:rPr>
          <w:u w:val="single"/>
          <w:lang w:val="en-GB"/>
        </w:rPr>
      </w:pPr>
      <w:r w:rsidRPr="002A01E7">
        <w:rPr>
          <w:u w:val="single"/>
          <w:lang w:val="en-GB"/>
        </w:rPr>
        <w:t>Land Development Costs</w:t>
      </w:r>
    </w:p>
    <w:p w:rsidR="002A01E7" w:rsidRPr="00D17AD7" w:rsidRDefault="002A01E7" w:rsidP="00D17AD7">
      <w:pPr>
        <w:numPr>
          <w:ilvl w:val="0"/>
          <w:numId w:val="7"/>
        </w:numPr>
        <w:autoSpaceDE w:val="0"/>
        <w:autoSpaceDN w:val="0"/>
        <w:adjustRightInd w:val="0"/>
        <w:spacing w:line="360" w:lineRule="auto"/>
        <w:ind w:left="1134"/>
        <w:rPr>
          <w:lang w:eastAsia="en-NZ"/>
        </w:rPr>
      </w:pPr>
      <w:r w:rsidRPr="00D17AD7">
        <w:rPr>
          <w:lang w:eastAsia="en-NZ"/>
        </w:rPr>
        <w:t>Specifically target land release for potential housing affordability projects</w:t>
      </w:r>
    </w:p>
    <w:p w:rsidR="002A01E7" w:rsidRPr="00D17AD7" w:rsidRDefault="002A01E7" w:rsidP="00D17AD7">
      <w:pPr>
        <w:numPr>
          <w:ilvl w:val="0"/>
          <w:numId w:val="7"/>
        </w:numPr>
        <w:autoSpaceDE w:val="0"/>
        <w:autoSpaceDN w:val="0"/>
        <w:adjustRightInd w:val="0"/>
        <w:spacing w:line="360" w:lineRule="auto"/>
        <w:ind w:left="1134"/>
        <w:rPr>
          <w:lang w:eastAsia="en-NZ"/>
        </w:rPr>
      </w:pPr>
      <w:r w:rsidRPr="00D17AD7">
        <w:rPr>
          <w:lang w:eastAsia="en-NZ"/>
        </w:rPr>
        <w:t>Incentivise affordable housing projects by t</w:t>
      </w:r>
      <w:r w:rsidR="0016659F" w:rsidRPr="00D17AD7">
        <w:rPr>
          <w:lang w:eastAsia="en-NZ"/>
        </w:rPr>
        <w:t>argeted reduction or waiver of d</w:t>
      </w:r>
      <w:r w:rsidRPr="00D17AD7">
        <w:rPr>
          <w:lang w:eastAsia="en-NZ"/>
        </w:rPr>
        <w:t>evelopment/ financial contributions and offsetting these by use of rate funding</w:t>
      </w:r>
    </w:p>
    <w:p w:rsidR="002A01E7" w:rsidRPr="00D17AD7" w:rsidRDefault="002A01E7" w:rsidP="00D17AD7">
      <w:pPr>
        <w:numPr>
          <w:ilvl w:val="0"/>
          <w:numId w:val="7"/>
        </w:numPr>
        <w:autoSpaceDE w:val="0"/>
        <w:autoSpaceDN w:val="0"/>
        <w:adjustRightInd w:val="0"/>
        <w:spacing w:line="360" w:lineRule="auto"/>
        <w:ind w:left="1134"/>
        <w:rPr>
          <w:lang w:eastAsia="en-NZ"/>
        </w:rPr>
      </w:pPr>
      <w:r w:rsidRPr="00D17AD7">
        <w:rPr>
          <w:lang w:eastAsia="en-NZ"/>
        </w:rPr>
        <w:t>Provide a more enabling consenting framework for affordable housing projects that meet specific criteria.</w:t>
      </w:r>
    </w:p>
    <w:p w:rsidR="002A01E7" w:rsidRPr="002A01E7" w:rsidRDefault="002A01E7" w:rsidP="002A01E7">
      <w:pPr>
        <w:spacing w:line="360" w:lineRule="auto"/>
        <w:ind w:left="720"/>
        <w:rPr>
          <w:u w:val="single"/>
          <w:lang w:val="en-GB"/>
        </w:rPr>
      </w:pPr>
    </w:p>
    <w:p w:rsidR="002A01E7" w:rsidRPr="002A01E7" w:rsidRDefault="002A01E7" w:rsidP="002A01E7">
      <w:pPr>
        <w:spacing w:line="360" w:lineRule="auto"/>
        <w:ind w:left="720"/>
        <w:rPr>
          <w:u w:val="single"/>
          <w:lang w:val="en-GB"/>
        </w:rPr>
      </w:pPr>
      <w:r w:rsidRPr="002A01E7">
        <w:rPr>
          <w:u w:val="single"/>
          <w:lang w:val="en-GB"/>
        </w:rPr>
        <w:t xml:space="preserve">Building Costs </w:t>
      </w:r>
    </w:p>
    <w:p w:rsidR="002A01E7" w:rsidRPr="00D17AD7" w:rsidRDefault="002A01E7" w:rsidP="00D17AD7">
      <w:pPr>
        <w:numPr>
          <w:ilvl w:val="0"/>
          <w:numId w:val="7"/>
        </w:numPr>
        <w:autoSpaceDE w:val="0"/>
        <w:autoSpaceDN w:val="0"/>
        <w:adjustRightInd w:val="0"/>
        <w:spacing w:line="360" w:lineRule="auto"/>
        <w:ind w:left="1134"/>
        <w:rPr>
          <w:lang w:eastAsia="en-NZ"/>
        </w:rPr>
      </w:pPr>
      <w:r w:rsidRPr="00D17AD7">
        <w:rPr>
          <w:lang w:eastAsia="en-NZ"/>
        </w:rPr>
        <w:t>Facilitate the sharing of information on collaborative designs, reuse designs and lifetime design.</w:t>
      </w:r>
    </w:p>
    <w:p w:rsidR="002A01E7" w:rsidRPr="00D17AD7" w:rsidRDefault="002A01E7" w:rsidP="00D17AD7">
      <w:pPr>
        <w:numPr>
          <w:ilvl w:val="0"/>
          <w:numId w:val="7"/>
        </w:numPr>
        <w:autoSpaceDE w:val="0"/>
        <w:autoSpaceDN w:val="0"/>
        <w:adjustRightInd w:val="0"/>
        <w:spacing w:line="360" w:lineRule="auto"/>
        <w:ind w:left="1134"/>
        <w:rPr>
          <w:lang w:eastAsia="en-NZ"/>
        </w:rPr>
      </w:pPr>
      <w:r w:rsidRPr="00D17AD7">
        <w:rPr>
          <w:lang w:eastAsia="en-NZ"/>
        </w:rPr>
        <w:t>Incentivise affordable housing projects by targeted reduction or waiver of Development/ financial contributions and offsetting these by use of rate funding</w:t>
      </w:r>
    </w:p>
    <w:p w:rsidR="002A01E7" w:rsidRPr="00D17AD7" w:rsidRDefault="002A01E7" w:rsidP="00D17AD7">
      <w:pPr>
        <w:numPr>
          <w:ilvl w:val="0"/>
          <w:numId w:val="7"/>
        </w:numPr>
        <w:autoSpaceDE w:val="0"/>
        <w:autoSpaceDN w:val="0"/>
        <w:adjustRightInd w:val="0"/>
        <w:spacing w:line="360" w:lineRule="auto"/>
        <w:ind w:left="1134"/>
        <w:rPr>
          <w:lang w:eastAsia="en-NZ"/>
        </w:rPr>
      </w:pPr>
      <w:r w:rsidRPr="00D17AD7">
        <w:rPr>
          <w:lang w:eastAsia="en-NZ"/>
        </w:rPr>
        <w:t>Provide a more enabling consenting framework for affordable housing projects that meet specific criteria.</w:t>
      </w:r>
    </w:p>
    <w:p w:rsidR="002A01E7" w:rsidRPr="002A01E7" w:rsidRDefault="002A01E7" w:rsidP="002A01E7">
      <w:pPr>
        <w:spacing w:line="360" w:lineRule="auto"/>
        <w:ind w:firstLine="720"/>
        <w:rPr>
          <w:u w:val="single"/>
          <w:lang w:val="en-GB"/>
        </w:rPr>
      </w:pPr>
      <w:r w:rsidRPr="002A01E7">
        <w:rPr>
          <w:u w:val="single"/>
          <w:lang w:val="en-GB"/>
        </w:rPr>
        <w:br w:type="page"/>
        <w:t>Leadership, Ownership and Funding</w:t>
      </w:r>
    </w:p>
    <w:p w:rsidR="002A01E7" w:rsidRPr="00D17AD7" w:rsidRDefault="002A01E7" w:rsidP="00D17AD7">
      <w:pPr>
        <w:numPr>
          <w:ilvl w:val="0"/>
          <w:numId w:val="7"/>
        </w:numPr>
        <w:autoSpaceDE w:val="0"/>
        <w:autoSpaceDN w:val="0"/>
        <w:adjustRightInd w:val="0"/>
        <w:spacing w:line="360" w:lineRule="auto"/>
        <w:ind w:left="1134"/>
        <w:rPr>
          <w:lang w:eastAsia="en-NZ"/>
        </w:rPr>
      </w:pPr>
      <w:r w:rsidRPr="00D17AD7">
        <w:rPr>
          <w:lang w:eastAsia="en-NZ"/>
        </w:rPr>
        <w:t>Investigate regional and national funding opportunities including funding partners as a source of lower cost funds.</w:t>
      </w:r>
    </w:p>
    <w:p w:rsidR="002A01E7" w:rsidRPr="00D17AD7" w:rsidRDefault="002A01E7" w:rsidP="00D17AD7">
      <w:pPr>
        <w:numPr>
          <w:ilvl w:val="0"/>
          <w:numId w:val="7"/>
        </w:numPr>
        <w:autoSpaceDE w:val="0"/>
        <w:autoSpaceDN w:val="0"/>
        <w:adjustRightInd w:val="0"/>
        <w:spacing w:line="360" w:lineRule="auto"/>
        <w:ind w:left="1134"/>
        <w:rPr>
          <w:lang w:eastAsia="en-NZ"/>
        </w:rPr>
      </w:pPr>
      <w:r w:rsidRPr="00D17AD7">
        <w:rPr>
          <w:lang w:eastAsia="en-NZ"/>
        </w:rPr>
        <w:t xml:space="preserve">Work with Housing NZ Corporation and other crown agencies to identify large blocks of Crown land and Council land which could be made available for affordable housing projects. Investigate the potential for public/ private partnerships using such lands.  </w:t>
      </w:r>
    </w:p>
    <w:p w:rsidR="002A01E7" w:rsidRPr="00D17AD7" w:rsidRDefault="002A01E7" w:rsidP="00D17AD7">
      <w:pPr>
        <w:numPr>
          <w:ilvl w:val="0"/>
          <w:numId w:val="7"/>
        </w:numPr>
        <w:autoSpaceDE w:val="0"/>
        <w:autoSpaceDN w:val="0"/>
        <w:adjustRightInd w:val="0"/>
        <w:spacing w:line="360" w:lineRule="auto"/>
        <w:ind w:left="1134"/>
        <w:rPr>
          <w:lang w:eastAsia="en-NZ"/>
        </w:rPr>
      </w:pPr>
      <w:r w:rsidRPr="00D17AD7">
        <w:rPr>
          <w:lang w:eastAsia="en-NZ"/>
        </w:rPr>
        <w:t>Support development of a business case for post settlement land to be developed including bulk stock transfer of Housing NZ Corporation property.</w:t>
      </w:r>
    </w:p>
    <w:p w:rsidR="002A01E7" w:rsidRPr="00D17AD7" w:rsidRDefault="002A01E7" w:rsidP="00D17AD7">
      <w:pPr>
        <w:numPr>
          <w:ilvl w:val="0"/>
          <w:numId w:val="7"/>
        </w:numPr>
        <w:autoSpaceDE w:val="0"/>
        <w:autoSpaceDN w:val="0"/>
        <w:adjustRightInd w:val="0"/>
        <w:spacing w:line="360" w:lineRule="auto"/>
        <w:ind w:left="1134"/>
        <w:rPr>
          <w:lang w:eastAsia="en-NZ"/>
        </w:rPr>
      </w:pPr>
      <w:r w:rsidRPr="00D17AD7">
        <w:rPr>
          <w:lang w:eastAsia="en-NZ"/>
        </w:rPr>
        <w:t>Allocate resources for housing preference research in the western Bay sub-region to better understand the demand drivers for affordable housing.</w:t>
      </w:r>
    </w:p>
    <w:p w:rsidR="001D1E59" w:rsidRDefault="001D1E59" w:rsidP="00714BE1"/>
    <w:p w:rsidR="001D1E59" w:rsidRPr="002F6799" w:rsidRDefault="001D1E59" w:rsidP="00684DAC">
      <w:pPr>
        <w:spacing w:line="360" w:lineRule="auto"/>
      </w:pPr>
    </w:p>
    <w:p w:rsidR="001D1E59" w:rsidRPr="002F6799" w:rsidRDefault="001D1E59" w:rsidP="00684DAC">
      <w:pPr>
        <w:spacing w:line="360" w:lineRule="auto"/>
        <w:rPr>
          <w:lang w:val="en-GB"/>
        </w:rPr>
      </w:pPr>
      <w:r w:rsidRPr="002F6799">
        <w:rPr>
          <w:lang w:val="en-GB"/>
        </w:rPr>
        <w:br w:type="page"/>
      </w:r>
    </w:p>
    <w:p w:rsidR="001D1E59" w:rsidRPr="002F6799" w:rsidRDefault="001D1E59" w:rsidP="00DA6C2F">
      <w:pPr>
        <w:pStyle w:val="Heading1"/>
        <w:rPr>
          <w:rFonts w:ascii="Arial" w:hAnsi="Arial"/>
        </w:rPr>
      </w:pPr>
      <w:bookmarkStart w:id="22" w:name="_Toc338427806"/>
      <w:r w:rsidRPr="002F6799">
        <w:rPr>
          <w:rFonts w:ascii="Arial" w:hAnsi="Arial"/>
        </w:rPr>
        <w:t>APPENDICES</w:t>
      </w:r>
      <w:bookmarkEnd w:id="22"/>
    </w:p>
    <w:p w:rsidR="001D1E59" w:rsidRPr="002F6799" w:rsidRDefault="001D1E59" w:rsidP="00714BE1">
      <w:pPr>
        <w:rPr>
          <w:lang w:val="en-GB"/>
        </w:rPr>
      </w:pPr>
    </w:p>
    <w:p w:rsidR="001D1E59" w:rsidRPr="002F6799" w:rsidRDefault="00E35AC4" w:rsidP="00714BE1">
      <w:pPr>
        <w:rPr>
          <w:lang w:val="en-GB"/>
        </w:rPr>
      </w:pPr>
      <w:r>
        <w:rPr>
          <w:b/>
          <w:lang w:val="en-GB"/>
        </w:rPr>
        <w:t xml:space="preserve">Appendix 1: </w:t>
      </w:r>
      <w:r w:rsidRPr="00E35AC4">
        <w:rPr>
          <w:b/>
          <w:lang w:val="en-GB"/>
        </w:rPr>
        <w:t xml:space="preserve">Importance of collaborative approach to housing affordability </w:t>
      </w:r>
      <w:r w:rsidR="005E7671">
        <w:rPr>
          <w:noProof/>
          <w:lang w:val="en-US"/>
        </w:rPr>
        <w:drawing>
          <wp:inline distT="0" distB="0" distL="0" distR="0" wp14:anchorId="495E9E5D" wp14:editId="4DEE3DDC">
            <wp:extent cx="5380355" cy="3201670"/>
            <wp:effectExtent l="0" t="57150" r="0" b="93980"/>
            <wp:docPr id="1"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1D1E59" w:rsidRPr="002F6799" w:rsidRDefault="001D1E59" w:rsidP="00714BE1">
      <w:pPr>
        <w:rPr>
          <w:lang w:val="en-GB"/>
        </w:rPr>
      </w:pPr>
    </w:p>
    <w:p w:rsidR="001D1E59" w:rsidRPr="002F6799" w:rsidRDefault="001D1E59" w:rsidP="00714BE1">
      <w:pPr>
        <w:rPr>
          <w:lang w:val="en-GB"/>
        </w:rPr>
      </w:pPr>
    </w:p>
    <w:p w:rsidR="001D1E59" w:rsidRPr="002F6799" w:rsidRDefault="001D1E59" w:rsidP="00714BE1">
      <w:pPr>
        <w:rPr>
          <w:lang w:val="en-GB"/>
        </w:rPr>
      </w:pPr>
    </w:p>
    <w:p w:rsidR="001D1E59" w:rsidRPr="002F6799" w:rsidRDefault="005E7671" w:rsidP="00714BE1">
      <w:pPr>
        <w:rPr>
          <w:lang w:val="en-GB"/>
        </w:rPr>
      </w:pPr>
      <w:r>
        <w:rPr>
          <w:noProof/>
          <w:lang w:val="en-US"/>
        </w:rPr>
        <w:drawing>
          <wp:inline distT="0" distB="0" distL="0" distR="0" wp14:anchorId="47C8063A" wp14:editId="5FA3A8B9">
            <wp:extent cx="5486400" cy="3199130"/>
            <wp:effectExtent l="0" t="57150" r="0" b="96520"/>
            <wp:docPr id="2" name="Picture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1D1E59" w:rsidRDefault="001D1E59" w:rsidP="00714BE1">
      <w:pPr>
        <w:rPr>
          <w:lang w:val="en-GB"/>
        </w:rPr>
      </w:pPr>
    </w:p>
    <w:p w:rsidR="001D1E59" w:rsidRDefault="001D1E59" w:rsidP="00714BE1">
      <w:pPr>
        <w:rPr>
          <w:lang w:val="en-GB"/>
        </w:rPr>
      </w:pPr>
      <w:r>
        <w:rPr>
          <w:lang w:val="en-GB"/>
        </w:rPr>
        <w:br w:type="page"/>
      </w:r>
    </w:p>
    <w:p w:rsidR="001D1E59" w:rsidRPr="00784438" w:rsidRDefault="00E35AC4" w:rsidP="00784438">
      <w:pPr>
        <w:pStyle w:val="ListParagraph"/>
        <w:spacing w:line="360" w:lineRule="auto"/>
        <w:rPr>
          <w:rFonts w:cs="Arial"/>
          <w:b/>
          <w:sz w:val="22"/>
          <w:szCs w:val="22"/>
        </w:rPr>
      </w:pPr>
      <w:r>
        <w:rPr>
          <w:rFonts w:cs="Arial"/>
          <w:b/>
          <w:sz w:val="22"/>
          <w:szCs w:val="22"/>
        </w:rPr>
        <w:t xml:space="preserve">Appendix 2:  </w:t>
      </w:r>
      <w:r w:rsidR="001D1E59" w:rsidRPr="00784438">
        <w:rPr>
          <w:rFonts w:cs="Arial"/>
          <w:b/>
          <w:sz w:val="22"/>
          <w:szCs w:val="22"/>
        </w:rPr>
        <w:t>Home Loan Package Information</w:t>
      </w:r>
    </w:p>
    <w:p w:rsidR="001D1E59" w:rsidRPr="00784438" w:rsidRDefault="001D1E59" w:rsidP="00784438">
      <w:pPr>
        <w:pStyle w:val="ListParagraph"/>
        <w:spacing w:line="360" w:lineRule="auto"/>
        <w:rPr>
          <w:rFonts w:cs="Arial"/>
          <w:i/>
          <w:sz w:val="22"/>
          <w:szCs w:val="22"/>
        </w:rPr>
      </w:pPr>
    </w:p>
    <w:p w:rsidR="001D1E59" w:rsidRPr="00784438" w:rsidRDefault="001D1E59" w:rsidP="00784438">
      <w:pPr>
        <w:pStyle w:val="ListParagraph"/>
        <w:spacing w:line="360" w:lineRule="auto"/>
        <w:rPr>
          <w:rFonts w:cs="Arial"/>
          <w:i/>
          <w:sz w:val="22"/>
          <w:szCs w:val="22"/>
        </w:rPr>
      </w:pPr>
      <w:r w:rsidRPr="00784438">
        <w:rPr>
          <w:rFonts w:cs="Arial"/>
          <w:i/>
          <w:sz w:val="22"/>
          <w:szCs w:val="22"/>
        </w:rPr>
        <w:t>Welcome Home Loans</w:t>
      </w:r>
    </w:p>
    <w:p w:rsidR="001D1E59" w:rsidRPr="00784438" w:rsidRDefault="001D1E59" w:rsidP="00784438">
      <w:pPr>
        <w:pStyle w:val="ListParagraph"/>
        <w:spacing w:line="276" w:lineRule="auto"/>
        <w:rPr>
          <w:rFonts w:cs="Arial"/>
          <w:sz w:val="22"/>
          <w:szCs w:val="22"/>
        </w:rPr>
      </w:pPr>
      <w:r w:rsidRPr="00784438">
        <w:rPr>
          <w:rFonts w:cs="Arial"/>
          <w:sz w:val="22"/>
          <w:szCs w:val="22"/>
        </w:rPr>
        <w:t xml:space="preserve">Welcome Home Loan don't require a deposit for loans of $200,000 or less. You may be able to borrow more in certain areas and you'll still only need a deposit of just 15% of the amount over $200,000.  There are common eligibility conditions however the loan includes some social criteria such as a borrower must live in the house, earn less than 85,000 and a household less than 120,000.  </w:t>
      </w:r>
    </w:p>
    <w:p w:rsidR="001D1E59" w:rsidRPr="00784438" w:rsidRDefault="001D1E59" w:rsidP="00784438">
      <w:pPr>
        <w:pStyle w:val="ListParagraph"/>
        <w:spacing w:line="360" w:lineRule="auto"/>
        <w:rPr>
          <w:rFonts w:cs="Arial"/>
          <w:sz w:val="22"/>
          <w:szCs w:val="22"/>
        </w:rPr>
      </w:pPr>
    </w:p>
    <w:p w:rsidR="001D1E59" w:rsidRPr="00784438" w:rsidRDefault="001D1E59" w:rsidP="00784438">
      <w:pPr>
        <w:pStyle w:val="PlainText"/>
        <w:ind w:left="720"/>
        <w:rPr>
          <w:rFonts w:ascii="Arial" w:hAnsi="Arial" w:cs="Arial"/>
          <w:i/>
          <w:sz w:val="22"/>
          <w:szCs w:val="22"/>
          <w:lang w:val="en-GB"/>
        </w:rPr>
      </w:pPr>
      <w:r w:rsidRPr="00784438">
        <w:rPr>
          <w:rFonts w:ascii="Arial" w:hAnsi="Arial" w:cs="Arial"/>
          <w:i/>
          <w:sz w:val="22"/>
          <w:szCs w:val="22"/>
          <w:lang w:val="en-GB"/>
        </w:rPr>
        <w:t>Kainga Whenua Loans</w:t>
      </w:r>
    </w:p>
    <w:p w:rsidR="001D1E59" w:rsidRPr="00784438" w:rsidRDefault="001D1E59" w:rsidP="00784438">
      <w:pPr>
        <w:pStyle w:val="ListParagraph"/>
        <w:spacing w:line="276" w:lineRule="auto"/>
        <w:rPr>
          <w:rFonts w:cs="Arial"/>
          <w:sz w:val="22"/>
          <w:szCs w:val="22"/>
        </w:rPr>
      </w:pPr>
      <w:r w:rsidRPr="00784438">
        <w:rPr>
          <w:rFonts w:cs="Arial"/>
          <w:sz w:val="22"/>
          <w:szCs w:val="22"/>
        </w:rPr>
        <w:t xml:space="preserve">The Government has moved to broaden the criteria for Kainga Whenua loans, which will make building on multiply-owned Maori land easier. As Maori land frequently has many owners, banks and financial organisations can be reluctant to lend, because of the difficulty they face in taking security over land with multiple owners. </w:t>
      </w:r>
    </w:p>
    <w:p w:rsidR="001D1E59" w:rsidRPr="00784438" w:rsidRDefault="001D1E59" w:rsidP="00784438">
      <w:pPr>
        <w:pStyle w:val="ListParagraph"/>
        <w:spacing w:line="276" w:lineRule="auto"/>
        <w:rPr>
          <w:rFonts w:cs="Arial"/>
          <w:sz w:val="22"/>
          <w:szCs w:val="22"/>
        </w:rPr>
      </w:pPr>
    </w:p>
    <w:p w:rsidR="001D1E59" w:rsidRPr="00784438" w:rsidRDefault="001D1E59" w:rsidP="00784438">
      <w:pPr>
        <w:pStyle w:val="ListParagraph"/>
        <w:spacing w:line="276" w:lineRule="auto"/>
        <w:rPr>
          <w:rFonts w:cs="Arial"/>
          <w:sz w:val="22"/>
          <w:szCs w:val="22"/>
          <w:lang w:val="en-GB"/>
        </w:rPr>
      </w:pPr>
      <w:r w:rsidRPr="00784438">
        <w:rPr>
          <w:rFonts w:cs="Arial"/>
          <w:sz w:val="22"/>
          <w:szCs w:val="22"/>
        </w:rPr>
        <w:t>The Kainga Whenua home loan, available through Kiwibank, aims to resolve these difficulties by allowing owners of Maori land to build on their land. Housing New Zealand takes security over the house – but not the land, and insures the loan, so that a borrower is able to access finance to build, buy or re-locate a home on their multiple-owned Maori</w:t>
      </w:r>
      <w:r w:rsidRPr="00784438">
        <w:rPr>
          <w:rFonts w:cs="Arial"/>
          <w:sz w:val="22"/>
          <w:szCs w:val="22"/>
          <w:lang w:val="en-GB"/>
        </w:rPr>
        <w:t xml:space="preserve"> land.</w:t>
      </w:r>
      <w:r w:rsidRPr="00784438">
        <w:rPr>
          <w:rStyle w:val="FootnoteReference"/>
          <w:rFonts w:cs="Arial"/>
          <w:sz w:val="22"/>
          <w:szCs w:val="22"/>
          <w:lang w:val="en-GB"/>
        </w:rPr>
        <w:footnoteReference w:id="5"/>
      </w:r>
    </w:p>
    <w:p w:rsidR="001D1E59" w:rsidRPr="00784438" w:rsidRDefault="001D1E59" w:rsidP="00784438">
      <w:pPr>
        <w:pStyle w:val="PlainText"/>
        <w:ind w:left="720"/>
        <w:rPr>
          <w:rFonts w:ascii="Arial" w:hAnsi="Arial" w:cs="Arial"/>
          <w:sz w:val="22"/>
          <w:szCs w:val="22"/>
          <w:lang w:val="en-GB"/>
        </w:rPr>
      </w:pPr>
    </w:p>
    <w:p w:rsidR="001D1E59" w:rsidRPr="00784438" w:rsidRDefault="001D1E59" w:rsidP="00784438">
      <w:pPr>
        <w:pStyle w:val="ListParagraph"/>
        <w:spacing w:line="276" w:lineRule="auto"/>
        <w:rPr>
          <w:rFonts w:cs="Arial"/>
          <w:sz w:val="22"/>
          <w:szCs w:val="22"/>
        </w:rPr>
      </w:pPr>
      <w:r w:rsidRPr="00784438">
        <w:rPr>
          <w:rFonts w:cs="Arial"/>
          <w:sz w:val="22"/>
          <w:szCs w:val="22"/>
        </w:rPr>
        <w:t xml:space="preserve">You can borrow up to $200,000 to build, buy or re-locate a house on your multiple-owned Maori land.  Kiwibank will provide the loan, and Housing New Zealand will insure the loan for Kiwibank. A Kainga Whenua loan is secured only against the house, not against the house and land as with most home loans. You can now earn up to $120,000 a year for one borrower. Two or more borrowers can earn up to $160,000. </w:t>
      </w:r>
    </w:p>
    <w:p w:rsidR="001D1E59" w:rsidRPr="00784438" w:rsidRDefault="001D1E59" w:rsidP="00784438">
      <w:pPr>
        <w:pStyle w:val="PlainText"/>
        <w:ind w:left="720"/>
        <w:rPr>
          <w:rFonts w:ascii="Arial" w:hAnsi="Arial" w:cs="Arial"/>
          <w:sz w:val="22"/>
          <w:szCs w:val="22"/>
          <w:lang w:val="en-GB"/>
        </w:rPr>
      </w:pPr>
    </w:p>
    <w:p w:rsidR="001D1E59" w:rsidRPr="00784438" w:rsidRDefault="001D1E59" w:rsidP="00784438">
      <w:pPr>
        <w:autoSpaceDE w:val="0"/>
        <w:autoSpaceDN w:val="0"/>
        <w:adjustRightInd w:val="0"/>
        <w:spacing w:before="4" w:line="40" w:lineRule="exact"/>
        <w:rPr>
          <w:sz w:val="4"/>
          <w:szCs w:val="4"/>
          <w:lang w:eastAsia="en-NZ"/>
        </w:rPr>
      </w:pPr>
    </w:p>
    <w:tbl>
      <w:tblPr>
        <w:tblW w:w="0" w:type="auto"/>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685"/>
        <w:gridCol w:w="4074"/>
      </w:tblGrid>
      <w:tr w:rsidR="001D1E59" w:rsidRPr="00784438" w:rsidTr="004513A0">
        <w:trPr>
          <w:trHeight w:hRule="exact" w:val="264"/>
        </w:trPr>
        <w:tc>
          <w:tcPr>
            <w:tcW w:w="3685" w:type="dxa"/>
          </w:tcPr>
          <w:p w:rsidR="001D1E59" w:rsidRPr="00784438" w:rsidRDefault="001D1E59" w:rsidP="004513A0">
            <w:pPr>
              <w:autoSpaceDE w:val="0"/>
              <w:autoSpaceDN w:val="0"/>
              <w:adjustRightInd w:val="0"/>
              <w:spacing w:line="252" w:lineRule="exact"/>
              <w:ind w:left="102" w:right="-20"/>
              <w:rPr>
                <w:sz w:val="24"/>
                <w:szCs w:val="24"/>
                <w:lang w:eastAsia="en-NZ"/>
              </w:rPr>
            </w:pPr>
            <w:r w:rsidRPr="00784438">
              <w:rPr>
                <w:spacing w:val="-1"/>
                <w:lang w:eastAsia="en-NZ"/>
              </w:rPr>
              <w:t>P</w:t>
            </w:r>
            <w:r w:rsidRPr="00784438">
              <w:rPr>
                <w:spacing w:val="1"/>
                <w:lang w:eastAsia="en-NZ"/>
              </w:rPr>
              <w:t>r</w:t>
            </w:r>
            <w:r w:rsidRPr="00784438">
              <w:rPr>
                <w:lang w:eastAsia="en-NZ"/>
              </w:rPr>
              <w:t>ev</w:t>
            </w:r>
            <w:r w:rsidRPr="00784438">
              <w:rPr>
                <w:spacing w:val="-1"/>
                <w:lang w:eastAsia="en-NZ"/>
              </w:rPr>
              <w:t>i</w:t>
            </w:r>
            <w:r w:rsidRPr="00784438">
              <w:rPr>
                <w:lang w:eastAsia="en-NZ"/>
              </w:rPr>
              <w:t>ous</w:t>
            </w:r>
            <w:r w:rsidRPr="00784438">
              <w:rPr>
                <w:spacing w:val="1"/>
                <w:lang w:eastAsia="en-NZ"/>
              </w:rPr>
              <w:t xml:space="preserve"> </w:t>
            </w:r>
            <w:r w:rsidRPr="00784438">
              <w:rPr>
                <w:lang w:eastAsia="en-NZ"/>
              </w:rPr>
              <w:t>c</w:t>
            </w:r>
            <w:r w:rsidRPr="00784438">
              <w:rPr>
                <w:spacing w:val="1"/>
                <w:lang w:eastAsia="en-NZ"/>
              </w:rPr>
              <w:t>r</w:t>
            </w:r>
            <w:r w:rsidRPr="00784438">
              <w:rPr>
                <w:spacing w:val="-3"/>
                <w:lang w:eastAsia="en-NZ"/>
              </w:rPr>
              <w:t>i</w:t>
            </w:r>
            <w:r w:rsidRPr="00784438">
              <w:rPr>
                <w:spacing w:val="1"/>
                <w:lang w:eastAsia="en-NZ"/>
              </w:rPr>
              <w:t>t</w:t>
            </w:r>
            <w:r w:rsidRPr="00784438">
              <w:rPr>
                <w:lang w:eastAsia="en-NZ"/>
              </w:rPr>
              <w:t>e</w:t>
            </w:r>
            <w:r w:rsidRPr="00784438">
              <w:rPr>
                <w:spacing w:val="1"/>
                <w:lang w:eastAsia="en-NZ"/>
              </w:rPr>
              <w:t>r</w:t>
            </w:r>
            <w:r w:rsidRPr="00784438">
              <w:rPr>
                <w:spacing w:val="-1"/>
                <w:lang w:eastAsia="en-NZ"/>
              </w:rPr>
              <w:t>i</w:t>
            </w:r>
            <w:r w:rsidRPr="00784438">
              <w:rPr>
                <w:lang w:eastAsia="en-NZ"/>
              </w:rPr>
              <w:t>a</w:t>
            </w:r>
          </w:p>
        </w:tc>
        <w:tc>
          <w:tcPr>
            <w:tcW w:w="4074" w:type="dxa"/>
          </w:tcPr>
          <w:p w:rsidR="001D1E59" w:rsidRPr="00784438" w:rsidRDefault="001D1E59" w:rsidP="004513A0">
            <w:pPr>
              <w:autoSpaceDE w:val="0"/>
              <w:autoSpaceDN w:val="0"/>
              <w:adjustRightInd w:val="0"/>
              <w:spacing w:line="252" w:lineRule="exact"/>
              <w:ind w:left="102" w:right="-20"/>
              <w:rPr>
                <w:sz w:val="24"/>
                <w:szCs w:val="24"/>
                <w:lang w:eastAsia="en-NZ"/>
              </w:rPr>
            </w:pPr>
            <w:r w:rsidRPr="00784438">
              <w:rPr>
                <w:spacing w:val="-1"/>
                <w:lang w:eastAsia="en-NZ"/>
              </w:rPr>
              <w:t>N</w:t>
            </w:r>
            <w:r w:rsidRPr="00784438">
              <w:rPr>
                <w:lang w:eastAsia="en-NZ"/>
              </w:rPr>
              <w:t>ew</w:t>
            </w:r>
            <w:r w:rsidRPr="00784438">
              <w:rPr>
                <w:spacing w:val="3"/>
                <w:lang w:eastAsia="en-NZ"/>
              </w:rPr>
              <w:t xml:space="preserve"> </w:t>
            </w:r>
            <w:r w:rsidRPr="00784438">
              <w:rPr>
                <w:spacing w:val="-2"/>
                <w:lang w:eastAsia="en-NZ"/>
              </w:rPr>
              <w:t>c</w:t>
            </w:r>
            <w:r w:rsidRPr="00784438">
              <w:rPr>
                <w:spacing w:val="1"/>
                <w:lang w:eastAsia="en-NZ"/>
              </w:rPr>
              <w:t>r</w:t>
            </w:r>
            <w:r w:rsidRPr="00784438">
              <w:rPr>
                <w:spacing w:val="-1"/>
                <w:lang w:eastAsia="en-NZ"/>
              </w:rPr>
              <w:t>i</w:t>
            </w:r>
            <w:r w:rsidRPr="00784438">
              <w:rPr>
                <w:spacing w:val="1"/>
                <w:lang w:eastAsia="en-NZ"/>
              </w:rPr>
              <w:t>t</w:t>
            </w:r>
            <w:r w:rsidRPr="00784438">
              <w:rPr>
                <w:lang w:eastAsia="en-NZ"/>
              </w:rPr>
              <w:t>e</w:t>
            </w:r>
            <w:r w:rsidRPr="00784438">
              <w:rPr>
                <w:spacing w:val="1"/>
                <w:lang w:eastAsia="en-NZ"/>
              </w:rPr>
              <w:t>r</w:t>
            </w:r>
            <w:r w:rsidRPr="00784438">
              <w:rPr>
                <w:spacing w:val="-1"/>
                <w:lang w:eastAsia="en-NZ"/>
              </w:rPr>
              <w:t>i</w:t>
            </w:r>
            <w:r w:rsidRPr="00784438">
              <w:rPr>
                <w:lang w:eastAsia="en-NZ"/>
              </w:rPr>
              <w:t>a</w:t>
            </w:r>
          </w:p>
        </w:tc>
      </w:tr>
      <w:tr w:rsidR="001D1E59" w:rsidRPr="00784438" w:rsidTr="004513A0">
        <w:trPr>
          <w:trHeight w:hRule="exact" w:val="1022"/>
        </w:trPr>
        <w:tc>
          <w:tcPr>
            <w:tcW w:w="3685" w:type="dxa"/>
          </w:tcPr>
          <w:p w:rsidR="001D1E59" w:rsidRPr="00784438" w:rsidRDefault="001D1E59" w:rsidP="004513A0">
            <w:pPr>
              <w:autoSpaceDE w:val="0"/>
              <w:autoSpaceDN w:val="0"/>
              <w:adjustRightInd w:val="0"/>
              <w:spacing w:line="250" w:lineRule="exact"/>
              <w:ind w:left="102" w:right="-20"/>
              <w:rPr>
                <w:lang w:eastAsia="en-NZ"/>
              </w:rPr>
            </w:pPr>
            <w:r w:rsidRPr="00784438">
              <w:rPr>
                <w:spacing w:val="-1"/>
                <w:lang w:eastAsia="en-NZ"/>
              </w:rPr>
              <w:t>K</w:t>
            </w:r>
            <w:r w:rsidRPr="00784438">
              <w:rPr>
                <w:lang w:eastAsia="en-NZ"/>
              </w:rPr>
              <w:t>ā</w:t>
            </w:r>
            <w:r w:rsidRPr="00784438">
              <w:rPr>
                <w:spacing w:val="-1"/>
                <w:lang w:eastAsia="en-NZ"/>
              </w:rPr>
              <w:t>i</w:t>
            </w:r>
            <w:r w:rsidRPr="00784438">
              <w:rPr>
                <w:lang w:eastAsia="en-NZ"/>
              </w:rPr>
              <w:t>n</w:t>
            </w:r>
            <w:r w:rsidRPr="00784438">
              <w:rPr>
                <w:spacing w:val="2"/>
                <w:lang w:eastAsia="en-NZ"/>
              </w:rPr>
              <w:t>g</w:t>
            </w:r>
            <w:r w:rsidRPr="00784438">
              <w:rPr>
                <w:lang w:eastAsia="en-NZ"/>
              </w:rPr>
              <w:t>a</w:t>
            </w:r>
            <w:r w:rsidRPr="00784438">
              <w:rPr>
                <w:spacing w:val="-6"/>
                <w:lang w:eastAsia="en-NZ"/>
              </w:rPr>
              <w:t xml:space="preserve"> </w:t>
            </w:r>
            <w:r w:rsidRPr="00784438">
              <w:rPr>
                <w:spacing w:val="8"/>
                <w:lang w:eastAsia="en-NZ"/>
              </w:rPr>
              <w:t>W</w:t>
            </w:r>
            <w:r w:rsidRPr="00784438">
              <w:rPr>
                <w:spacing w:val="-3"/>
                <w:lang w:eastAsia="en-NZ"/>
              </w:rPr>
              <w:t>h</w:t>
            </w:r>
            <w:r w:rsidRPr="00784438">
              <w:rPr>
                <w:lang w:eastAsia="en-NZ"/>
              </w:rPr>
              <w:t>enua</w:t>
            </w:r>
            <w:r w:rsidRPr="00784438">
              <w:rPr>
                <w:spacing w:val="1"/>
                <w:lang w:eastAsia="en-NZ"/>
              </w:rPr>
              <w:t xml:space="preserve"> </w:t>
            </w:r>
            <w:r w:rsidRPr="00784438">
              <w:rPr>
                <w:spacing w:val="-1"/>
                <w:lang w:eastAsia="en-NZ"/>
              </w:rPr>
              <w:t>l</w:t>
            </w:r>
            <w:r w:rsidRPr="00784438">
              <w:rPr>
                <w:lang w:eastAsia="en-NZ"/>
              </w:rPr>
              <w:t>oans</w:t>
            </w:r>
            <w:r w:rsidRPr="00784438">
              <w:rPr>
                <w:spacing w:val="-1"/>
                <w:lang w:eastAsia="en-NZ"/>
              </w:rPr>
              <w:t xml:space="preserve"> </w:t>
            </w:r>
            <w:r w:rsidRPr="00784438">
              <w:rPr>
                <w:spacing w:val="-3"/>
                <w:lang w:eastAsia="en-NZ"/>
              </w:rPr>
              <w:t>h</w:t>
            </w:r>
            <w:r w:rsidRPr="00784438">
              <w:rPr>
                <w:lang w:eastAsia="en-NZ"/>
              </w:rPr>
              <w:t>a</w:t>
            </w:r>
            <w:r w:rsidRPr="00784438">
              <w:rPr>
                <w:spacing w:val="-2"/>
                <w:lang w:eastAsia="en-NZ"/>
              </w:rPr>
              <w:t>v</w:t>
            </w:r>
            <w:r w:rsidRPr="00784438">
              <w:rPr>
                <w:lang w:eastAsia="en-NZ"/>
              </w:rPr>
              <w:t>e</w:t>
            </w:r>
            <w:r w:rsidRPr="00784438">
              <w:rPr>
                <w:spacing w:val="1"/>
                <w:lang w:eastAsia="en-NZ"/>
              </w:rPr>
              <w:t xml:space="preserve"> </w:t>
            </w:r>
            <w:r w:rsidRPr="00784438">
              <w:rPr>
                <w:lang w:eastAsia="en-NZ"/>
              </w:rPr>
              <w:t>been</w:t>
            </w:r>
          </w:p>
          <w:p w:rsidR="001D1E59" w:rsidRPr="00784438" w:rsidRDefault="001D1E59" w:rsidP="004513A0">
            <w:pPr>
              <w:autoSpaceDE w:val="0"/>
              <w:autoSpaceDN w:val="0"/>
              <w:adjustRightInd w:val="0"/>
              <w:spacing w:before="6" w:line="252" w:lineRule="exact"/>
              <w:ind w:left="102" w:right="89"/>
              <w:rPr>
                <w:sz w:val="24"/>
                <w:szCs w:val="24"/>
                <w:lang w:eastAsia="en-NZ"/>
              </w:rPr>
            </w:pPr>
            <w:r w:rsidRPr="00784438">
              <w:rPr>
                <w:lang w:eastAsia="en-NZ"/>
              </w:rPr>
              <w:t>a</w:t>
            </w:r>
            <w:r w:rsidRPr="00784438">
              <w:rPr>
                <w:spacing w:val="-2"/>
                <w:lang w:eastAsia="en-NZ"/>
              </w:rPr>
              <w:t>v</w:t>
            </w:r>
            <w:r w:rsidRPr="00784438">
              <w:rPr>
                <w:lang w:eastAsia="en-NZ"/>
              </w:rPr>
              <w:t>a</w:t>
            </w:r>
            <w:r w:rsidRPr="00784438">
              <w:rPr>
                <w:spacing w:val="1"/>
                <w:lang w:eastAsia="en-NZ"/>
              </w:rPr>
              <w:t>i</w:t>
            </w:r>
            <w:r w:rsidRPr="00784438">
              <w:rPr>
                <w:spacing w:val="-1"/>
                <w:lang w:eastAsia="en-NZ"/>
              </w:rPr>
              <w:t>l</w:t>
            </w:r>
            <w:r w:rsidRPr="00784438">
              <w:rPr>
                <w:lang w:eastAsia="en-NZ"/>
              </w:rPr>
              <w:t>ab</w:t>
            </w:r>
            <w:r w:rsidRPr="00784438">
              <w:rPr>
                <w:spacing w:val="-1"/>
                <w:lang w:eastAsia="en-NZ"/>
              </w:rPr>
              <w:t>l</w:t>
            </w:r>
            <w:r w:rsidRPr="00784438">
              <w:rPr>
                <w:lang w:eastAsia="en-NZ"/>
              </w:rPr>
              <w:t>e</w:t>
            </w:r>
            <w:r w:rsidRPr="00784438">
              <w:rPr>
                <w:spacing w:val="1"/>
                <w:lang w:eastAsia="en-NZ"/>
              </w:rPr>
              <w:t xml:space="preserve"> </w:t>
            </w:r>
            <w:r w:rsidRPr="00784438">
              <w:rPr>
                <w:lang w:eastAsia="en-NZ"/>
              </w:rPr>
              <w:t>on</w:t>
            </w:r>
            <w:r w:rsidRPr="00784438">
              <w:rPr>
                <w:spacing w:val="1"/>
                <w:lang w:eastAsia="en-NZ"/>
              </w:rPr>
              <w:t>l</w:t>
            </w:r>
            <w:r w:rsidRPr="00784438">
              <w:rPr>
                <w:lang w:eastAsia="en-NZ"/>
              </w:rPr>
              <w:t>y</w:t>
            </w:r>
            <w:r w:rsidRPr="00784438">
              <w:rPr>
                <w:spacing w:val="-3"/>
                <w:lang w:eastAsia="en-NZ"/>
              </w:rPr>
              <w:t xml:space="preserve"> </w:t>
            </w:r>
            <w:r w:rsidRPr="00784438">
              <w:rPr>
                <w:spacing w:val="3"/>
                <w:lang w:eastAsia="en-NZ"/>
              </w:rPr>
              <w:t>f</w:t>
            </w:r>
            <w:r w:rsidRPr="00784438">
              <w:rPr>
                <w:lang w:eastAsia="en-NZ"/>
              </w:rPr>
              <w:t>or</w:t>
            </w:r>
            <w:r w:rsidRPr="00784438">
              <w:rPr>
                <w:spacing w:val="-3"/>
                <w:lang w:eastAsia="en-NZ"/>
              </w:rPr>
              <w:t xml:space="preserve"> </w:t>
            </w:r>
            <w:r w:rsidRPr="00784438">
              <w:rPr>
                <w:spacing w:val="3"/>
                <w:lang w:eastAsia="en-NZ"/>
              </w:rPr>
              <w:t>f</w:t>
            </w:r>
            <w:r w:rsidRPr="00784438">
              <w:rPr>
                <w:spacing w:val="-1"/>
                <w:lang w:eastAsia="en-NZ"/>
              </w:rPr>
              <w:t>i</w:t>
            </w:r>
            <w:r w:rsidRPr="00784438">
              <w:rPr>
                <w:spacing w:val="1"/>
                <w:lang w:eastAsia="en-NZ"/>
              </w:rPr>
              <w:t>r</w:t>
            </w:r>
            <w:r w:rsidRPr="00784438">
              <w:rPr>
                <w:spacing w:val="-2"/>
                <w:lang w:eastAsia="en-NZ"/>
              </w:rPr>
              <w:t>s</w:t>
            </w:r>
            <w:r w:rsidRPr="00784438">
              <w:rPr>
                <w:lang w:eastAsia="en-NZ"/>
              </w:rPr>
              <w:t>t</w:t>
            </w:r>
            <w:r w:rsidRPr="00784438">
              <w:rPr>
                <w:spacing w:val="2"/>
                <w:lang w:eastAsia="en-NZ"/>
              </w:rPr>
              <w:t xml:space="preserve"> </w:t>
            </w:r>
            <w:r w:rsidRPr="00784438">
              <w:rPr>
                <w:lang w:eastAsia="en-NZ"/>
              </w:rPr>
              <w:t>h</w:t>
            </w:r>
            <w:r w:rsidRPr="00784438">
              <w:rPr>
                <w:spacing w:val="-3"/>
                <w:lang w:eastAsia="en-NZ"/>
              </w:rPr>
              <w:t>o</w:t>
            </w:r>
            <w:r w:rsidRPr="00784438">
              <w:rPr>
                <w:spacing w:val="1"/>
                <w:lang w:eastAsia="en-NZ"/>
              </w:rPr>
              <w:t>m</w:t>
            </w:r>
            <w:r w:rsidRPr="00784438">
              <w:rPr>
                <w:lang w:eastAsia="en-NZ"/>
              </w:rPr>
              <w:t>e</w:t>
            </w:r>
            <w:r w:rsidRPr="00784438">
              <w:rPr>
                <w:spacing w:val="1"/>
                <w:lang w:eastAsia="en-NZ"/>
              </w:rPr>
              <w:t xml:space="preserve"> </w:t>
            </w:r>
            <w:r w:rsidRPr="00784438">
              <w:rPr>
                <w:lang w:eastAsia="en-NZ"/>
              </w:rPr>
              <w:t>bu</w:t>
            </w:r>
            <w:r w:rsidRPr="00784438">
              <w:rPr>
                <w:spacing w:val="-2"/>
                <w:lang w:eastAsia="en-NZ"/>
              </w:rPr>
              <w:t>y</w:t>
            </w:r>
            <w:r w:rsidRPr="00784438">
              <w:rPr>
                <w:lang w:eastAsia="en-NZ"/>
              </w:rPr>
              <w:t>e</w:t>
            </w:r>
            <w:r w:rsidRPr="00784438">
              <w:rPr>
                <w:spacing w:val="1"/>
                <w:lang w:eastAsia="en-NZ"/>
              </w:rPr>
              <w:t>r</w:t>
            </w:r>
            <w:r w:rsidRPr="00784438">
              <w:rPr>
                <w:lang w:eastAsia="en-NZ"/>
              </w:rPr>
              <w:t>s</w:t>
            </w:r>
            <w:r w:rsidRPr="00784438">
              <w:rPr>
                <w:spacing w:val="-1"/>
                <w:lang w:eastAsia="en-NZ"/>
              </w:rPr>
              <w:t xml:space="preserve"> </w:t>
            </w:r>
            <w:r w:rsidRPr="00784438">
              <w:rPr>
                <w:spacing w:val="1"/>
                <w:lang w:eastAsia="en-NZ"/>
              </w:rPr>
              <w:t>(</w:t>
            </w:r>
            <w:r w:rsidRPr="00784438">
              <w:rPr>
                <w:spacing w:val="-3"/>
                <w:lang w:eastAsia="en-NZ"/>
              </w:rPr>
              <w:t>o</w:t>
            </w:r>
            <w:r w:rsidRPr="00784438">
              <w:rPr>
                <w:lang w:eastAsia="en-NZ"/>
              </w:rPr>
              <w:t xml:space="preserve">r </w:t>
            </w:r>
            <w:r w:rsidRPr="00784438">
              <w:rPr>
                <w:spacing w:val="1"/>
                <w:lang w:eastAsia="en-NZ"/>
              </w:rPr>
              <w:t>t</w:t>
            </w:r>
            <w:r w:rsidRPr="00784438">
              <w:rPr>
                <w:lang w:eastAsia="en-NZ"/>
              </w:rPr>
              <w:t>hose</w:t>
            </w:r>
            <w:r w:rsidRPr="00784438">
              <w:rPr>
                <w:spacing w:val="1"/>
                <w:lang w:eastAsia="en-NZ"/>
              </w:rPr>
              <w:t xml:space="preserve"> </w:t>
            </w:r>
            <w:r w:rsidRPr="00784438">
              <w:rPr>
                <w:spacing w:val="-1"/>
                <w:lang w:eastAsia="en-NZ"/>
              </w:rPr>
              <w:t>i</w:t>
            </w:r>
            <w:r w:rsidRPr="00784438">
              <w:rPr>
                <w:lang w:eastAsia="en-NZ"/>
              </w:rPr>
              <w:t>n</w:t>
            </w:r>
            <w:r w:rsidRPr="00784438">
              <w:rPr>
                <w:spacing w:val="1"/>
                <w:lang w:eastAsia="en-NZ"/>
              </w:rPr>
              <w:t xml:space="preserve"> </w:t>
            </w:r>
            <w:r w:rsidRPr="00784438">
              <w:rPr>
                <w:lang w:eastAsia="en-NZ"/>
              </w:rPr>
              <w:t>a</w:t>
            </w:r>
            <w:r w:rsidRPr="00784438">
              <w:rPr>
                <w:spacing w:val="-1"/>
                <w:lang w:eastAsia="en-NZ"/>
              </w:rPr>
              <w:t xml:space="preserve"> </w:t>
            </w:r>
            <w:r w:rsidRPr="00784438">
              <w:rPr>
                <w:lang w:eastAsia="en-NZ"/>
              </w:rPr>
              <w:t>s</w:t>
            </w:r>
            <w:r w:rsidRPr="00784438">
              <w:rPr>
                <w:spacing w:val="-1"/>
                <w:lang w:eastAsia="en-NZ"/>
              </w:rPr>
              <w:t>i</w:t>
            </w:r>
            <w:r w:rsidRPr="00784438">
              <w:rPr>
                <w:spacing w:val="1"/>
                <w:lang w:eastAsia="en-NZ"/>
              </w:rPr>
              <w:t>m</w:t>
            </w:r>
            <w:r w:rsidRPr="00784438">
              <w:rPr>
                <w:spacing w:val="-1"/>
                <w:lang w:eastAsia="en-NZ"/>
              </w:rPr>
              <w:t>il</w:t>
            </w:r>
            <w:r w:rsidRPr="00784438">
              <w:rPr>
                <w:lang w:eastAsia="en-NZ"/>
              </w:rPr>
              <w:t>ar</w:t>
            </w:r>
            <w:r w:rsidRPr="00784438">
              <w:rPr>
                <w:spacing w:val="-3"/>
                <w:lang w:eastAsia="en-NZ"/>
              </w:rPr>
              <w:t xml:space="preserve"> </w:t>
            </w:r>
            <w:r w:rsidRPr="00784438">
              <w:rPr>
                <w:spacing w:val="3"/>
                <w:lang w:eastAsia="en-NZ"/>
              </w:rPr>
              <w:t>f</w:t>
            </w:r>
            <w:r w:rsidRPr="00784438">
              <w:rPr>
                <w:spacing w:val="-1"/>
                <w:lang w:eastAsia="en-NZ"/>
              </w:rPr>
              <w:t>i</w:t>
            </w:r>
            <w:r w:rsidRPr="00784438">
              <w:rPr>
                <w:lang w:eastAsia="en-NZ"/>
              </w:rPr>
              <w:t>nanc</w:t>
            </w:r>
            <w:r w:rsidRPr="00784438">
              <w:rPr>
                <w:spacing w:val="-3"/>
                <w:lang w:eastAsia="en-NZ"/>
              </w:rPr>
              <w:t>i</w:t>
            </w:r>
            <w:r w:rsidRPr="00784438">
              <w:rPr>
                <w:lang w:eastAsia="en-NZ"/>
              </w:rPr>
              <w:t>al pos</w:t>
            </w:r>
            <w:r w:rsidRPr="00784438">
              <w:rPr>
                <w:spacing w:val="-1"/>
                <w:lang w:eastAsia="en-NZ"/>
              </w:rPr>
              <w:t>i</w:t>
            </w:r>
            <w:r w:rsidRPr="00784438">
              <w:rPr>
                <w:spacing w:val="1"/>
                <w:lang w:eastAsia="en-NZ"/>
              </w:rPr>
              <w:t>t</w:t>
            </w:r>
            <w:r w:rsidRPr="00784438">
              <w:rPr>
                <w:spacing w:val="-1"/>
                <w:lang w:eastAsia="en-NZ"/>
              </w:rPr>
              <w:t>i</w:t>
            </w:r>
            <w:r w:rsidRPr="00784438">
              <w:rPr>
                <w:lang w:eastAsia="en-NZ"/>
              </w:rPr>
              <w:t>on</w:t>
            </w:r>
            <w:r w:rsidRPr="00784438">
              <w:rPr>
                <w:spacing w:val="1"/>
                <w:lang w:eastAsia="en-NZ"/>
              </w:rPr>
              <w:t xml:space="preserve"> t</w:t>
            </w:r>
            <w:r w:rsidRPr="00784438">
              <w:rPr>
                <w:lang w:eastAsia="en-NZ"/>
              </w:rPr>
              <w:t>o</w:t>
            </w:r>
            <w:r w:rsidRPr="00784438">
              <w:rPr>
                <w:spacing w:val="-4"/>
                <w:lang w:eastAsia="en-NZ"/>
              </w:rPr>
              <w:t xml:space="preserve"> </w:t>
            </w:r>
            <w:r w:rsidRPr="00784438">
              <w:rPr>
                <w:spacing w:val="3"/>
                <w:lang w:eastAsia="en-NZ"/>
              </w:rPr>
              <w:t>f</w:t>
            </w:r>
            <w:r w:rsidRPr="00784438">
              <w:rPr>
                <w:spacing w:val="-1"/>
                <w:lang w:eastAsia="en-NZ"/>
              </w:rPr>
              <w:t>ir</w:t>
            </w:r>
            <w:r w:rsidRPr="00784438">
              <w:rPr>
                <w:lang w:eastAsia="en-NZ"/>
              </w:rPr>
              <w:t>st ho</w:t>
            </w:r>
            <w:r w:rsidRPr="00784438">
              <w:rPr>
                <w:spacing w:val="1"/>
                <w:lang w:eastAsia="en-NZ"/>
              </w:rPr>
              <w:t>m</w:t>
            </w:r>
            <w:r w:rsidRPr="00784438">
              <w:rPr>
                <w:lang w:eastAsia="en-NZ"/>
              </w:rPr>
              <w:t>e</w:t>
            </w:r>
            <w:r w:rsidRPr="00784438">
              <w:rPr>
                <w:spacing w:val="1"/>
                <w:lang w:eastAsia="en-NZ"/>
              </w:rPr>
              <w:t xml:space="preserve"> </w:t>
            </w:r>
            <w:r w:rsidRPr="00784438">
              <w:rPr>
                <w:lang w:eastAsia="en-NZ"/>
              </w:rPr>
              <w:t>bu</w:t>
            </w:r>
            <w:r w:rsidRPr="00784438">
              <w:rPr>
                <w:spacing w:val="-2"/>
                <w:lang w:eastAsia="en-NZ"/>
              </w:rPr>
              <w:t>y</w:t>
            </w:r>
            <w:r w:rsidRPr="00784438">
              <w:rPr>
                <w:lang w:eastAsia="en-NZ"/>
              </w:rPr>
              <w:t>e</w:t>
            </w:r>
            <w:r w:rsidRPr="00784438">
              <w:rPr>
                <w:spacing w:val="1"/>
                <w:lang w:eastAsia="en-NZ"/>
              </w:rPr>
              <w:t>r</w:t>
            </w:r>
            <w:r w:rsidRPr="00784438">
              <w:rPr>
                <w:spacing w:val="-2"/>
                <w:lang w:eastAsia="en-NZ"/>
              </w:rPr>
              <w:t>s</w:t>
            </w:r>
            <w:r w:rsidRPr="00784438">
              <w:rPr>
                <w:lang w:eastAsia="en-NZ"/>
              </w:rPr>
              <w:t>)</w:t>
            </w:r>
          </w:p>
        </w:tc>
        <w:tc>
          <w:tcPr>
            <w:tcW w:w="4074" w:type="dxa"/>
          </w:tcPr>
          <w:p w:rsidR="001D1E59" w:rsidRPr="00784438" w:rsidRDefault="001D1E59" w:rsidP="004513A0">
            <w:pPr>
              <w:autoSpaceDE w:val="0"/>
              <w:autoSpaceDN w:val="0"/>
              <w:adjustRightInd w:val="0"/>
              <w:spacing w:line="250" w:lineRule="exact"/>
              <w:ind w:left="102" w:right="-20"/>
              <w:rPr>
                <w:lang w:eastAsia="en-NZ"/>
              </w:rPr>
            </w:pPr>
            <w:r w:rsidRPr="00784438">
              <w:rPr>
                <w:spacing w:val="-1"/>
                <w:lang w:eastAsia="en-NZ"/>
              </w:rPr>
              <w:t>P</w:t>
            </w:r>
            <w:r w:rsidRPr="00784438">
              <w:rPr>
                <w:spacing w:val="1"/>
                <w:lang w:eastAsia="en-NZ"/>
              </w:rPr>
              <w:t>r</w:t>
            </w:r>
            <w:r w:rsidRPr="00784438">
              <w:rPr>
                <w:lang w:eastAsia="en-NZ"/>
              </w:rPr>
              <w:t>e</w:t>
            </w:r>
            <w:r w:rsidRPr="00784438">
              <w:rPr>
                <w:spacing w:val="-2"/>
                <w:lang w:eastAsia="en-NZ"/>
              </w:rPr>
              <w:t>v</w:t>
            </w:r>
            <w:r w:rsidRPr="00784438">
              <w:rPr>
                <w:spacing w:val="-1"/>
                <w:lang w:eastAsia="en-NZ"/>
              </w:rPr>
              <w:t>i</w:t>
            </w:r>
            <w:r w:rsidRPr="00784438">
              <w:rPr>
                <w:lang w:eastAsia="en-NZ"/>
              </w:rPr>
              <w:t>ous</w:t>
            </w:r>
            <w:r w:rsidRPr="00784438">
              <w:rPr>
                <w:spacing w:val="1"/>
                <w:lang w:eastAsia="en-NZ"/>
              </w:rPr>
              <w:t xml:space="preserve"> </w:t>
            </w:r>
            <w:r w:rsidRPr="00784438">
              <w:rPr>
                <w:lang w:eastAsia="en-NZ"/>
              </w:rPr>
              <w:t>and</w:t>
            </w:r>
            <w:r w:rsidRPr="00784438">
              <w:rPr>
                <w:spacing w:val="1"/>
                <w:lang w:eastAsia="en-NZ"/>
              </w:rPr>
              <w:t xml:space="preserve"> </w:t>
            </w:r>
            <w:r w:rsidRPr="00784438">
              <w:rPr>
                <w:lang w:eastAsia="en-NZ"/>
              </w:rPr>
              <w:t>cu</w:t>
            </w:r>
            <w:r w:rsidRPr="00784438">
              <w:rPr>
                <w:spacing w:val="-1"/>
                <w:lang w:eastAsia="en-NZ"/>
              </w:rPr>
              <w:t>r</w:t>
            </w:r>
            <w:r w:rsidRPr="00784438">
              <w:rPr>
                <w:spacing w:val="1"/>
                <w:lang w:eastAsia="en-NZ"/>
              </w:rPr>
              <w:t>r</w:t>
            </w:r>
            <w:r w:rsidRPr="00784438">
              <w:rPr>
                <w:lang w:eastAsia="en-NZ"/>
              </w:rPr>
              <w:t>ent h</w:t>
            </w:r>
            <w:r w:rsidRPr="00784438">
              <w:rPr>
                <w:spacing w:val="-3"/>
                <w:lang w:eastAsia="en-NZ"/>
              </w:rPr>
              <w:t>o</w:t>
            </w:r>
            <w:r w:rsidRPr="00784438">
              <w:rPr>
                <w:spacing w:val="1"/>
                <w:lang w:eastAsia="en-NZ"/>
              </w:rPr>
              <w:t>m</w:t>
            </w:r>
            <w:r w:rsidRPr="00784438">
              <w:rPr>
                <w:lang w:eastAsia="en-NZ"/>
              </w:rPr>
              <w:t>e</w:t>
            </w:r>
            <w:r w:rsidRPr="00784438">
              <w:rPr>
                <w:spacing w:val="1"/>
                <w:lang w:eastAsia="en-NZ"/>
              </w:rPr>
              <w:t xml:space="preserve"> </w:t>
            </w:r>
            <w:r w:rsidRPr="00784438">
              <w:rPr>
                <w:lang w:eastAsia="en-NZ"/>
              </w:rPr>
              <w:t>o</w:t>
            </w:r>
            <w:r w:rsidRPr="00784438">
              <w:rPr>
                <w:spacing w:val="-3"/>
                <w:lang w:eastAsia="en-NZ"/>
              </w:rPr>
              <w:t>w</w:t>
            </w:r>
            <w:r w:rsidRPr="00784438">
              <w:rPr>
                <w:lang w:eastAsia="en-NZ"/>
              </w:rPr>
              <w:t>ne</w:t>
            </w:r>
            <w:r w:rsidRPr="00784438">
              <w:rPr>
                <w:spacing w:val="1"/>
                <w:lang w:eastAsia="en-NZ"/>
              </w:rPr>
              <w:t>r</w:t>
            </w:r>
            <w:r w:rsidRPr="00784438">
              <w:rPr>
                <w:lang w:eastAsia="en-NZ"/>
              </w:rPr>
              <w:t>s</w:t>
            </w:r>
            <w:r w:rsidRPr="00784438">
              <w:rPr>
                <w:spacing w:val="1"/>
                <w:lang w:eastAsia="en-NZ"/>
              </w:rPr>
              <w:t xml:space="preserve"> </w:t>
            </w:r>
            <w:r w:rsidRPr="00784438">
              <w:rPr>
                <w:lang w:eastAsia="en-NZ"/>
              </w:rPr>
              <w:t>can</w:t>
            </w:r>
          </w:p>
          <w:p w:rsidR="001D1E59" w:rsidRPr="00784438" w:rsidRDefault="001D1E59" w:rsidP="004513A0">
            <w:pPr>
              <w:autoSpaceDE w:val="0"/>
              <w:autoSpaceDN w:val="0"/>
              <w:adjustRightInd w:val="0"/>
              <w:spacing w:before="1"/>
              <w:ind w:left="102" w:right="-20"/>
              <w:rPr>
                <w:sz w:val="24"/>
                <w:szCs w:val="24"/>
                <w:lang w:eastAsia="en-NZ"/>
              </w:rPr>
            </w:pPr>
            <w:r w:rsidRPr="00784438">
              <w:rPr>
                <w:lang w:eastAsia="en-NZ"/>
              </w:rPr>
              <w:t>now</w:t>
            </w:r>
            <w:r w:rsidRPr="00784438">
              <w:rPr>
                <w:spacing w:val="-2"/>
                <w:lang w:eastAsia="en-NZ"/>
              </w:rPr>
              <w:t xml:space="preserve"> </w:t>
            </w:r>
            <w:r w:rsidRPr="00784438">
              <w:rPr>
                <w:lang w:eastAsia="en-NZ"/>
              </w:rPr>
              <w:t>app</w:t>
            </w:r>
            <w:r w:rsidRPr="00784438">
              <w:rPr>
                <w:spacing w:val="1"/>
                <w:lang w:eastAsia="en-NZ"/>
              </w:rPr>
              <w:t>l</w:t>
            </w:r>
            <w:r w:rsidRPr="00784438">
              <w:rPr>
                <w:lang w:eastAsia="en-NZ"/>
              </w:rPr>
              <w:t>y</w:t>
            </w:r>
          </w:p>
        </w:tc>
      </w:tr>
      <w:tr w:rsidR="001D1E59" w:rsidRPr="00784438" w:rsidTr="004513A0">
        <w:trPr>
          <w:trHeight w:hRule="exact" w:val="1022"/>
        </w:trPr>
        <w:tc>
          <w:tcPr>
            <w:tcW w:w="3685" w:type="dxa"/>
          </w:tcPr>
          <w:p w:rsidR="001D1E59" w:rsidRPr="00784438" w:rsidRDefault="001D1E59" w:rsidP="004513A0">
            <w:pPr>
              <w:autoSpaceDE w:val="0"/>
              <w:autoSpaceDN w:val="0"/>
              <w:adjustRightInd w:val="0"/>
              <w:spacing w:line="250" w:lineRule="exact"/>
              <w:ind w:left="102" w:right="-20"/>
              <w:rPr>
                <w:sz w:val="24"/>
                <w:szCs w:val="24"/>
                <w:lang w:eastAsia="en-NZ"/>
              </w:rPr>
            </w:pPr>
            <w:r w:rsidRPr="00784438">
              <w:rPr>
                <w:spacing w:val="-1"/>
                <w:lang w:eastAsia="en-NZ"/>
              </w:rPr>
              <w:t>Al</w:t>
            </w:r>
            <w:r w:rsidRPr="00784438">
              <w:rPr>
                <w:lang w:eastAsia="en-NZ"/>
              </w:rPr>
              <w:t>l bo</w:t>
            </w:r>
            <w:r w:rsidRPr="00784438">
              <w:rPr>
                <w:spacing w:val="1"/>
                <w:lang w:eastAsia="en-NZ"/>
              </w:rPr>
              <w:t>rr</w:t>
            </w:r>
            <w:r w:rsidRPr="00784438">
              <w:rPr>
                <w:lang w:eastAsia="en-NZ"/>
              </w:rPr>
              <w:t>o</w:t>
            </w:r>
            <w:r w:rsidRPr="00784438">
              <w:rPr>
                <w:spacing w:val="-3"/>
                <w:lang w:eastAsia="en-NZ"/>
              </w:rPr>
              <w:t>w</w:t>
            </w:r>
            <w:r w:rsidRPr="00784438">
              <w:rPr>
                <w:lang w:eastAsia="en-NZ"/>
              </w:rPr>
              <w:t>e</w:t>
            </w:r>
            <w:r w:rsidRPr="00784438">
              <w:rPr>
                <w:spacing w:val="1"/>
                <w:lang w:eastAsia="en-NZ"/>
              </w:rPr>
              <w:t>r</w:t>
            </w:r>
            <w:r w:rsidRPr="00784438">
              <w:rPr>
                <w:lang w:eastAsia="en-NZ"/>
              </w:rPr>
              <w:t>s</w:t>
            </w:r>
            <w:r w:rsidRPr="00784438">
              <w:rPr>
                <w:spacing w:val="1"/>
                <w:lang w:eastAsia="en-NZ"/>
              </w:rPr>
              <w:t xml:space="preserve"> </w:t>
            </w:r>
            <w:r w:rsidRPr="00784438">
              <w:rPr>
                <w:lang w:eastAsia="en-NZ"/>
              </w:rPr>
              <w:t>had</w:t>
            </w:r>
            <w:r w:rsidRPr="00784438">
              <w:rPr>
                <w:spacing w:val="-1"/>
                <w:lang w:eastAsia="en-NZ"/>
              </w:rPr>
              <w:t xml:space="preserve"> </w:t>
            </w:r>
            <w:r w:rsidRPr="00784438">
              <w:rPr>
                <w:spacing w:val="1"/>
                <w:lang w:eastAsia="en-NZ"/>
              </w:rPr>
              <w:t>t</w:t>
            </w:r>
            <w:r w:rsidRPr="00784438">
              <w:rPr>
                <w:lang w:eastAsia="en-NZ"/>
              </w:rPr>
              <w:t>o</w:t>
            </w:r>
            <w:r w:rsidRPr="00784438">
              <w:rPr>
                <w:spacing w:val="1"/>
                <w:lang w:eastAsia="en-NZ"/>
              </w:rPr>
              <w:t xml:space="preserve"> </w:t>
            </w:r>
            <w:r w:rsidRPr="00784438">
              <w:rPr>
                <w:spacing w:val="-1"/>
                <w:lang w:eastAsia="en-NZ"/>
              </w:rPr>
              <w:t>li</w:t>
            </w:r>
            <w:r w:rsidRPr="00784438">
              <w:rPr>
                <w:spacing w:val="-2"/>
                <w:lang w:eastAsia="en-NZ"/>
              </w:rPr>
              <w:t>v</w:t>
            </w:r>
            <w:r w:rsidRPr="00784438">
              <w:rPr>
                <w:lang w:eastAsia="en-NZ"/>
              </w:rPr>
              <w:t>e</w:t>
            </w:r>
            <w:r w:rsidRPr="00784438">
              <w:rPr>
                <w:spacing w:val="1"/>
                <w:lang w:eastAsia="en-NZ"/>
              </w:rPr>
              <w:t xml:space="preserve"> </w:t>
            </w:r>
            <w:r w:rsidRPr="00784438">
              <w:rPr>
                <w:spacing w:val="-1"/>
                <w:lang w:eastAsia="en-NZ"/>
              </w:rPr>
              <w:t>i</w:t>
            </w:r>
            <w:r w:rsidRPr="00784438">
              <w:rPr>
                <w:lang w:eastAsia="en-NZ"/>
              </w:rPr>
              <w:t>n</w:t>
            </w:r>
            <w:r w:rsidRPr="00784438">
              <w:rPr>
                <w:spacing w:val="1"/>
                <w:lang w:eastAsia="en-NZ"/>
              </w:rPr>
              <w:t xml:space="preserve"> t</w:t>
            </w:r>
            <w:r w:rsidRPr="00784438">
              <w:rPr>
                <w:lang w:eastAsia="en-NZ"/>
              </w:rPr>
              <w:t>he</w:t>
            </w:r>
            <w:r w:rsidRPr="00784438">
              <w:rPr>
                <w:spacing w:val="1"/>
                <w:lang w:eastAsia="en-NZ"/>
              </w:rPr>
              <w:t xml:space="preserve"> </w:t>
            </w:r>
            <w:r w:rsidRPr="00784438">
              <w:rPr>
                <w:lang w:eastAsia="en-NZ"/>
              </w:rPr>
              <w:t>house</w:t>
            </w:r>
          </w:p>
        </w:tc>
        <w:tc>
          <w:tcPr>
            <w:tcW w:w="4074" w:type="dxa"/>
          </w:tcPr>
          <w:p w:rsidR="001D1E59" w:rsidRPr="00784438" w:rsidRDefault="001D1E59" w:rsidP="004513A0">
            <w:pPr>
              <w:autoSpaceDE w:val="0"/>
              <w:autoSpaceDN w:val="0"/>
              <w:adjustRightInd w:val="0"/>
              <w:spacing w:before="1" w:line="252" w:lineRule="exact"/>
              <w:ind w:left="102" w:right="154"/>
              <w:rPr>
                <w:lang w:eastAsia="en-NZ"/>
              </w:rPr>
            </w:pPr>
            <w:r w:rsidRPr="00784438">
              <w:rPr>
                <w:spacing w:val="1"/>
                <w:lang w:eastAsia="en-NZ"/>
              </w:rPr>
              <w:t>O</w:t>
            </w:r>
            <w:r w:rsidRPr="00784438">
              <w:rPr>
                <w:lang w:eastAsia="en-NZ"/>
              </w:rPr>
              <w:t>n</w:t>
            </w:r>
            <w:r w:rsidRPr="00784438">
              <w:rPr>
                <w:spacing w:val="-1"/>
                <w:lang w:eastAsia="en-NZ"/>
              </w:rPr>
              <w:t>l</w:t>
            </w:r>
            <w:r w:rsidRPr="00784438">
              <w:rPr>
                <w:lang w:eastAsia="en-NZ"/>
              </w:rPr>
              <w:t>y</w:t>
            </w:r>
            <w:r w:rsidRPr="00784438">
              <w:rPr>
                <w:spacing w:val="-1"/>
                <w:lang w:eastAsia="en-NZ"/>
              </w:rPr>
              <w:t xml:space="preserve"> </w:t>
            </w:r>
            <w:r w:rsidRPr="00784438">
              <w:rPr>
                <w:lang w:eastAsia="en-NZ"/>
              </w:rPr>
              <w:t>one</w:t>
            </w:r>
            <w:r w:rsidRPr="00784438">
              <w:rPr>
                <w:spacing w:val="1"/>
                <w:lang w:eastAsia="en-NZ"/>
              </w:rPr>
              <w:t xml:space="preserve"> </w:t>
            </w:r>
            <w:r w:rsidRPr="00784438">
              <w:rPr>
                <w:lang w:eastAsia="en-NZ"/>
              </w:rPr>
              <w:t>bo</w:t>
            </w:r>
            <w:r w:rsidRPr="00784438">
              <w:rPr>
                <w:spacing w:val="-1"/>
                <w:lang w:eastAsia="en-NZ"/>
              </w:rPr>
              <w:t>r</w:t>
            </w:r>
            <w:r w:rsidRPr="00784438">
              <w:rPr>
                <w:spacing w:val="1"/>
                <w:lang w:eastAsia="en-NZ"/>
              </w:rPr>
              <w:t>r</w:t>
            </w:r>
            <w:r w:rsidRPr="00784438">
              <w:rPr>
                <w:lang w:eastAsia="en-NZ"/>
              </w:rPr>
              <w:t>o</w:t>
            </w:r>
            <w:r w:rsidRPr="00784438">
              <w:rPr>
                <w:spacing w:val="-3"/>
                <w:lang w:eastAsia="en-NZ"/>
              </w:rPr>
              <w:t>w</w:t>
            </w:r>
            <w:r w:rsidRPr="00784438">
              <w:rPr>
                <w:lang w:eastAsia="en-NZ"/>
              </w:rPr>
              <w:t>er</w:t>
            </w:r>
            <w:r w:rsidRPr="00784438">
              <w:rPr>
                <w:spacing w:val="2"/>
                <w:lang w:eastAsia="en-NZ"/>
              </w:rPr>
              <w:t xml:space="preserve"> </w:t>
            </w:r>
            <w:r w:rsidRPr="00784438">
              <w:rPr>
                <w:lang w:eastAsia="en-NZ"/>
              </w:rPr>
              <w:t>needs</w:t>
            </w:r>
            <w:r w:rsidRPr="00784438">
              <w:rPr>
                <w:spacing w:val="1"/>
                <w:lang w:eastAsia="en-NZ"/>
              </w:rPr>
              <w:t xml:space="preserve"> t</w:t>
            </w:r>
            <w:r w:rsidRPr="00784438">
              <w:rPr>
                <w:lang w:eastAsia="en-NZ"/>
              </w:rPr>
              <w:t>o</w:t>
            </w:r>
            <w:r w:rsidRPr="00784438">
              <w:rPr>
                <w:spacing w:val="-1"/>
                <w:lang w:eastAsia="en-NZ"/>
              </w:rPr>
              <w:t xml:space="preserve"> li</w:t>
            </w:r>
            <w:r w:rsidRPr="00784438">
              <w:rPr>
                <w:spacing w:val="-2"/>
                <w:lang w:eastAsia="en-NZ"/>
              </w:rPr>
              <w:t>v</w:t>
            </w:r>
            <w:r w:rsidRPr="00784438">
              <w:rPr>
                <w:lang w:eastAsia="en-NZ"/>
              </w:rPr>
              <w:t>e</w:t>
            </w:r>
            <w:r w:rsidRPr="00784438">
              <w:rPr>
                <w:spacing w:val="1"/>
                <w:lang w:eastAsia="en-NZ"/>
              </w:rPr>
              <w:t xml:space="preserve"> </w:t>
            </w:r>
            <w:r w:rsidRPr="00784438">
              <w:rPr>
                <w:spacing w:val="3"/>
                <w:lang w:eastAsia="en-NZ"/>
              </w:rPr>
              <w:t>f</w:t>
            </w:r>
            <w:r w:rsidRPr="00784438">
              <w:rPr>
                <w:lang w:eastAsia="en-NZ"/>
              </w:rPr>
              <w:t>u</w:t>
            </w:r>
            <w:r w:rsidRPr="00784438">
              <w:rPr>
                <w:spacing w:val="-1"/>
                <w:lang w:eastAsia="en-NZ"/>
              </w:rPr>
              <w:t>l</w:t>
            </w:r>
            <w:r w:rsidRPr="00784438">
              <w:rPr>
                <w:lang w:eastAsia="en-NZ"/>
              </w:rPr>
              <w:t>l</w:t>
            </w:r>
            <w:r w:rsidRPr="00784438">
              <w:rPr>
                <w:spacing w:val="-2"/>
                <w:lang w:eastAsia="en-NZ"/>
              </w:rPr>
              <w:t xml:space="preserve"> </w:t>
            </w:r>
            <w:r w:rsidRPr="00784438">
              <w:rPr>
                <w:spacing w:val="1"/>
                <w:lang w:eastAsia="en-NZ"/>
              </w:rPr>
              <w:t>t</w:t>
            </w:r>
            <w:r w:rsidRPr="00784438">
              <w:rPr>
                <w:spacing w:val="-1"/>
                <w:lang w:eastAsia="en-NZ"/>
              </w:rPr>
              <w:t>i</w:t>
            </w:r>
            <w:r w:rsidRPr="00784438">
              <w:rPr>
                <w:spacing w:val="1"/>
                <w:lang w:eastAsia="en-NZ"/>
              </w:rPr>
              <w:t>m</w:t>
            </w:r>
            <w:r w:rsidRPr="00784438">
              <w:rPr>
                <w:lang w:eastAsia="en-NZ"/>
              </w:rPr>
              <w:t xml:space="preserve">e </w:t>
            </w:r>
            <w:r w:rsidRPr="00784438">
              <w:rPr>
                <w:spacing w:val="-1"/>
                <w:lang w:eastAsia="en-NZ"/>
              </w:rPr>
              <w:t>i</w:t>
            </w:r>
            <w:r w:rsidRPr="00784438">
              <w:rPr>
                <w:lang w:eastAsia="en-NZ"/>
              </w:rPr>
              <w:t>n</w:t>
            </w:r>
            <w:r w:rsidRPr="00784438">
              <w:rPr>
                <w:spacing w:val="1"/>
                <w:lang w:eastAsia="en-NZ"/>
              </w:rPr>
              <w:t xml:space="preserve"> t</w:t>
            </w:r>
            <w:r w:rsidRPr="00784438">
              <w:rPr>
                <w:lang w:eastAsia="en-NZ"/>
              </w:rPr>
              <w:t>he</w:t>
            </w:r>
            <w:r w:rsidRPr="00784438">
              <w:rPr>
                <w:spacing w:val="1"/>
                <w:lang w:eastAsia="en-NZ"/>
              </w:rPr>
              <w:t xml:space="preserve"> </w:t>
            </w:r>
            <w:r w:rsidRPr="00784438">
              <w:rPr>
                <w:lang w:eastAsia="en-NZ"/>
              </w:rPr>
              <w:t>house</w:t>
            </w:r>
            <w:r w:rsidRPr="00784438">
              <w:rPr>
                <w:spacing w:val="-1"/>
                <w:lang w:eastAsia="en-NZ"/>
              </w:rPr>
              <w:t xml:space="preserve"> </w:t>
            </w:r>
            <w:r w:rsidRPr="00784438">
              <w:rPr>
                <w:lang w:eastAsia="en-NZ"/>
              </w:rPr>
              <w:t>and</w:t>
            </w:r>
            <w:r w:rsidRPr="00784438">
              <w:rPr>
                <w:spacing w:val="-1"/>
                <w:lang w:eastAsia="en-NZ"/>
              </w:rPr>
              <w:t xml:space="preserve"> </w:t>
            </w:r>
            <w:r w:rsidRPr="00784438">
              <w:rPr>
                <w:lang w:eastAsia="en-NZ"/>
              </w:rPr>
              <w:t>o</w:t>
            </w:r>
            <w:r w:rsidRPr="00784438">
              <w:rPr>
                <w:spacing w:val="1"/>
                <w:lang w:eastAsia="en-NZ"/>
              </w:rPr>
              <w:t>t</w:t>
            </w:r>
            <w:r w:rsidRPr="00784438">
              <w:rPr>
                <w:lang w:eastAsia="en-NZ"/>
              </w:rPr>
              <w:t>h</w:t>
            </w:r>
            <w:r w:rsidRPr="00784438">
              <w:rPr>
                <w:spacing w:val="-3"/>
                <w:lang w:eastAsia="en-NZ"/>
              </w:rPr>
              <w:t>e</w:t>
            </w:r>
            <w:r w:rsidRPr="00784438">
              <w:rPr>
                <w:lang w:eastAsia="en-NZ"/>
              </w:rPr>
              <w:t xml:space="preserve">r </w:t>
            </w:r>
            <w:r w:rsidRPr="00784438">
              <w:rPr>
                <w:spacing w:val="-1"/>
                <w:lang w:eastAsia="en-NZ"/>
              </w:rPr>
              <w:t>m</w:t>
            </w:r>
            <w:r w:rsidRPr="00784438">
              <w:rPr>
                <w:lang w:eastAsia="en-NZ"/>
              </w:rPr>
              <w:t>e</w:t>
            </w:r>
            <w:r w:rsidRPr="00784438">
              <w:rPr>
                <w:spacing w:val="1"/>
                <w:lang w:eastAsia="en-NZ"/>
              </w:rPr>
              <w:t>m</w:t>
            </w:r>
            <w:r w:rsidRPr="00784438">
              <w:rPr>
                <w:lang w:eastAsia="en-NZ"/>
              </w:rPr>
              <w:t>be</w:t>
            </w:r>
            <w:r w:rsidRPr="00784438">
              <w:rPr>
                <w:spacing w:val="1"/>
                <w:lang w:eastAsia="en-NZ"/>
              </w:rPr>
              <w:t>r</w:t>
            </w:r>
            <w:r w:rsidRPr="00784438">
              <w:rPr>
                <w:lang w:eastAsia="en-NZ"/>
              </w:rPr>
              <w:t>s</w:t>
            </w:r>
            <w:r w:rsidRPr="00784438">
              <w:rPr>
                <w:spacing w:val="-1"/>
                <w:lang w:eastAsia="en-NZ"/>
              </w:rPr>
              <w:t xml:space="preserve"> </w:t>
            </w:r>
            <w:r w:rsidRPr="00784438">
              <w:rPr>
                <w:spacing w:val="-3"/>
                <w:lang w:eastAsia="en-NZ"/>
              </w:rPr>
              <w:t>o</w:t>
            </w:r>
            <w:r w:rsidRPr="00784438">
              <w:rPr>
                <w:lang w:eastAsia="en-NZ"/>
              </w:rPr>
              <w:t>f</w:t>
            </w:r>
            <w:r w:rsidRPr="00784438">
              <w:rPr>
                <w:spacing w:val="2"/>
                <w:lang w:eastAsia="en-NZ"/>
              </w:rPr>
              <w:t xml:space="preserve"> </w:t>
            </w:r>
            <w:r w:rsidRPr="00784438">
              <w:rPr>
                <w:lang w:eastAsia="en-NZ"/>
              </w:rPr>
              <w:t>a</w:t>
            </w:r>
          </w:p>
          <w:p w:rsidR="001D1E59" w:rsidRPr="00784438" w:rsidRDefault="001D1E59" w:rsidP="004513A0">
            <w:pPr>
              <w:autoSpaceDE w:val="0"/>
              <w:autoSpaceDN w:val="0"/>
              <w:adjustRightInd w:val="0"/>
              <w:spacing w:before="2" w:line="252" w:lineRule="exact"/>
              <w:ind w:left="102" w:right="142"/>
              <w:rPr>
                <w:sz w:val="24"/>
                <w:szCs w:val="24"/>
                <w:lang w:eastAsia="en-NZ"/>
              </w:rPr>
            </w:pPr>
            <w:r w:rsidRPr="00784438">
              <w:rPr>
                <w:spacing w:val="-3"/>
                <w:lang w:eastAsia="en-NZ"/>
              </w:rPr>
              <w:t>w</w:t>
            </w:r>
            <w:r w:rsidRPr="00784438">
              <w:rPr>
                <w:lang w:eastAsia="en-NZ"/>
              </w:rPr>
              <w:t>hanau,</w:t>
            </w:r>
            <w:r w:rsidRPr="00784438">
              <w:rPr>
                <w:spacing w:val="2"/>
                <w:lang w:eastAsia="en-NZ"/>
              </w:rPr>
              <w:t xml:space="preserve"> </w:t>
            </w:r>
            <w:r w:rsidRPr="00784438">
              <w:rPr>
                <w:lang w:eastAsia="en-NZ"/>
              </w:rPr>
              <w:t>not</w:t>
            </w:r>
            <w:r w:rsidRPr="00784438">
              <w:rPr>
                <w:spacing w:val="2"/>
                <w:lang w:eastAsia="en-NZ"/>
              </w:rPr>
              <w:t xml:space="preserve"> </w:t>
            </w:r>
            <w:r w:rsidRPr="00784438">
              <w:rPr>
                <w:spacing w:val="-1"/>
                <w:lang w:eastAsia="en-NZ"/>
              </w:rPr>
              <w:t>li</w:t>
            </w:r>
            <w:r w:rsidRPr="00784438">
              <w:rPr>
                <w:spacing w:val="-2"/>
                <w:lang w:eastAsia="en-NZ"/>
              </w:rPr>
              <w:t>v</w:t>
            </w:r>
            <w:r w:rsidRPr="00784438">
              <w:rPr>
                <w:spacing w:val="-1"/>
                <w:lang w:eastAsia="en-NZ"/>
              </w:rPr>
              <w:t>i</w:t>
            </w:r>
            <w:r w:rsidRPr="00784438">
              <w:rPr>
                <w:lang w:eastAsia="en-NZ"/>
              </w:rPr>
              <w:t>ng</w:t>
            </w:r>
            <w:r w:rsidRPr="00784438">
              <w:rPr>
                <w:spacing w:val="3"/>
                <w:lang w:eastAsia="en-NZ"/>
              </w:rPr>
              <w:t xml:space="preserve"> </w:t>
            </w:r>
            <w:r w:rsidRPr="00784438">
              <w:rPr>
                <w:spacing w:val="-1"/>
                <w:lang w:eastAsia="en-NZ"/>
              </w:rPr>
              <w:t>i</w:t>
            </w:r>
            <w:r w:rsidRPr="00784438">
              <w:rPr>
                <w:lang w:eastAsia="en-NZ"/>
              </w:rPr>
              <w:t>n</w:t>
            </w:r>
            <w:r w:rsidRPr="00784438">
              <w:rPr>
                <w:spacing w:val="1"/>
                <w:lang w:eastAsia="en-NZ"/>
              </w:rPr>
              <w:t xml:space="preserve"> t</w:t>
            </w:r>
            <w:r w:rsidRPr="00784438">
              <w:rPr>
                <w:lang w:eastAsia="en-NZ"/>
              </w:rPr>
              <w:t>he</w:t>
            </w:r>
            <w:r w:rsidRPr="00784438">
              <w:rPr>
                <w:spacing w:val="-4"/>
                <w:lang w:eastAsia="en-NZ"/>
              </w:rPr>
              <w:t xml:space="preserve"> </w:t>
            </w:r>
            <w:r w:rsidRPr="00784438">
              <w:rPr>
                <w:lang w:eastAsia="en-NZ"/>
              </w:rPr>
              <w:t>house,</w:t>
            </w:r>
            <w:r w:rsidRPr="00784438">
              <w:rPr>
                <w:spacing w:val="2"/>
                <w:lang w:eastAsia="en-NZ"/>
              </w:rPr>
              <w:t xml:space="preserve"> </w:t>
            </w:r>
            <w:r w:rsidRPr="00784438">
              <w:rPr>
                <w:spacing w:val="-3"/>
                <w:lang w:eastAsia="en-NZ"/>
              </w:rPr>
              <w:t>a</w:t>
            </w:r>
            <w:r w:rsidRPr="00784438">
              <w:rPr>
                <w:spacing w:val="1"/>
                <w:lang w:eastAsia="en-NZ"/>
              </w:rPr>
              <w:t>r</w:t>
            </w:r>
            <w:r w:rsidRPr="00784438">
              <w:rPr>
                <w:lang w:eastAsia="en-NZ"/>
              </w:rPr>
              <w:t>e</w:t>
            </w:r>
            <w:r w:rsidRPr="00784438">
              <w:rPr>
                <w:spacing w:val="1"/>
                <w:lang w:eastAsia="en-NZ"/>
              </w:rPr>
              <w:t xml:space="preserve"> </w:t>
            </w:r>
            <w:r w:rsidRPr="00784438">
              <w:rPr>
                <w:lang w:eastAsia="en-NZ"/>
              </w:rPr>
              <w:t>ab</w:t>
            </w:r>
            <w:r w:rsidRPr="00784438">
              <w:rPr>
                <w:spacing w:val="-1"/>
                <w:lang w:eastAsia="en-NZ"/>
              </w:rPr>
              <w:t>l</w:t>
            </w:r>
            <w:r w:rsidRPr="00784438">
              <w:rPr>
                <w:lang w:eastAsia="en-NZ"/>
              </w:rPr>
              <w:t xml:space="preserve">e </w:t>
            </w:r>
            <w:r w:rsidRPr="00784438">
              <w:rPr>
                <w:spacing w:val="1"/>
                <w:lang w:eastAsia="en-NZ"/>
              </w:rPr>
              <w:t>t</w:t>
            </w:r>
            <w:r w:rsidRPr="00784438">
              <w:rPr>
                <w:lang w:eastAsia="en-NZ"/>
              </w:rPr>
              <w:t>o</w:t>
            </w:r>
            <w:r w:rsidRPr="00784438">
              <w:rPr>
                <w:spacing w:val="1"/>
                <w:lang w:eastAsia="en-NZ"/>
              </w:rPr>
              <w:t xml:space="preserve"> </w:t>
            </w:r>
            <w:r w:rsidRPr="00784438">
              <w:rPr>
                <w:lang w:eastAsia="en-NZ"/>
              </w:rPr>
              <w:t>co</w:t>
            </w:r>
            <w:r w:rsidRPr="00784438">
              <w:rPr>
                <w:spacing w:val="-3"/>
                <w:lang w:eastAsia="en-NZ"/>
              </w:rPr>
              <w:t>n</w:t>
            </w:r>
            <w:r w:rsidRPr="00784438">
              <w:rPr>
                <w:spacing w:val="1"/>
                <w:lang w:eastAsia="en-NZ"/>
              </w:rPr>
              <w:t>tr</w:t>
            </w:r>
            <w:r w:rsidRPr="00784438">
              <w:rPr>
                <w:spacing w:val="-1"/>
                <w:lang w:eastAsia="en-NZ"/>
              </w:rPr>
              <w:t>i</w:t>
            </w:r>
            <w:r w:rsidRPr="00784438">
              <w:rPr>
                <w:lang w:eastAsia="en-NZ"/>
              </w:rPr>
              <w:t>bu</w:t>
            </w:r>
            <w:r w:rsidRPr="00784438">
              <w:rPr>
                <w:spacing w:val="1"/>
                <w:lang w:eastAsia="en-NZ"/>
              </w:rPr>
              <w:t>t</w:t>
            </w:r>
            <w:r w:rsidRPr="00784438">
              <w:rPr>
                <w:lang w:eastAsia="en-NZ"/>
              </w:rPr>
              <w:t>e</w:t>
            </w:r>
            <w:r w:rsidRPr="00784438">
              <w:rPr>
                <w:spacing w:val="-4"/>
                <w:lang w:eastAsia="en-NZ"/>
              </w:rPr>
              <w:t xml:space="preserve"> </w:t>
            </w:r>
            <w:r w:rsidRPr="00784438">
              <w:rPr>
                <w:spacing w:val="1"/>
                <w:lang w:eastAsia="en-NZ"/>
              </w:rPr>
              <w:t>t</w:t>
            </w:r>
            <w:r w:rsidRPr="00784438">
              <w:rPr>
                <w:lang w:eastAsia="en-NZ"/>
              </w:rPr>
              <w:t>o</w:t>
            </w:r>
            <w:r w:rsidRPr="00784438">
              <w:rPr>
                <w:spacing w:val="-1"/>
                <w:lang w:eastAsia="en-NZ"/>
              </w:rPr>
              <w:t xml:space="preserve"> </w:t>
            </w:r>
            <w:r w:rsidRPr="00784438">
              <w:rPr>
                <w:spacing w:val="1"/>
                <w:lang w:eastAsia="en-NZ"/>
              </w:rPr>
              <w:t>t</w:t>
            </w:r>
            <w:r w:rsidRPr="00784438">
              <w:rPr>
                <w:lang w:eastAsia="en-NZ"/>
              </w:rPr>
              <w:t>he</w:t>
            </w:r>
            <w:r w:rsidRPr="00784438">
              <w:rPr>
                <w:spacing w:val="1"/>
                <w:lang w:eastAsia="en-NZ"/>
              </w:rPr>
              <w:t xml:space="preserve"> </w:t>
            </w:r>
            <w:r w:rsidRPr="00784438">
              <w:rPr>
                <w:spacing w:val="-1"/>
                <w:lang w:eastAsia="en-NZ"/>
              </w:rPr>
              <w:t>l</w:t>
            </w:r>
            <w:r w:rsidRPr="00784438">
              <w:rPr>
                <w:lang w:eastAsia="en-NZ"/>
              </w:rPr>
              <w:t>oan</w:t>
            </w:r>
            <w:r w:rsidRPr="00784438">
              <w:rPr>
                <w:spacing w:val="-1"/>
                <w:lang w:eastAsia="en-NZ"/>
              </w:rPr>
              <w:t xml:space="preserve"> r</w:t>
            </w:r>
            <w:r w:rsidRPr="00784438">
              <w:rPr>
                <w:lang w:eastAsia="en-NZ"/>
              </w:rPr>
              <w:t>epa</w:t>
            </w:r>
            <w:r w:rsidRPr="00784438">
              <w:rPr>
                <w:spacing w:val="-2"/>
                <w:lang w:eastAsia="en-NZ"/>
              </w:rPr>
              <w:t>y</w:t>
            </w:r>
            <w:r w:rsidRPr="00784438">
              <w:rPr>
                <w:spacing w:val="1"/>
                <w:lang w:eastAsia="en-NZ"/>
              </w:rPr>
              <w:t>m</w:t>
            </w:r>
            <w:r w:rsidRPr="00784438">
              <w:rPr>
                <w:lang w:eastAsia="en-NZ"/>
              </w:rPr>
              <w:t>en</w:t>
            </w:r>
            <w:r w:rsidRPr="00784438">
              <w:rPr>
                <w:spacing w:val="1"/>
                <w:lang w:eastAsia="en-NZ"/>
              </w:rPr>
              <w:t>t</w:t>
            </w:r>
            <w:r w:rsidRPr="00784438">
              <w:rPr>
                <w:lang w:eastAsia="en-NZ"/>
              </w:rPr>
              <w:t>s.</w:t>
            </w:r>
          </w:p>
        </w:tc>
      </w:tr>
      <w:tr w:rsidR="001D1E59" w:rsidRPr="00784438" w:rsidTr="004513A0">
        <w:trPr>
          <w:trHeight w:hRule="exact" w:val="1020"/>
        </w:trPr>
        <w:tc>
          <w:tcPr>
            <w:tcW w:w="3685" w:type="dxa"/>
          </w:tcPr>
          <w:p w:rsidR="001D1E59" w:rsidRPr="00784438" w:rsidRDefault="001D1E59" w:rsidP="004513A0">
            <w:pPr>
              <w:autoSpaceDE w:val="0"/>
              <w:autoSpaceDN w:val="0"/>
              <w:adjustRightInd w:val="0"/>
              <w:spacing w:line="250" w:lineRule="exact"/>
              <w:ind w:left="102" w:right="-20"/>
              <w:rPr>
                <w:lang w:eastAsia="en-NZ"/>
              </w:rPr>
            </w:pPr>
            <w:r w:rsidRPr="00784438">
              <w:rPr>
                <w:spacing w:val="-1"/>
                <w:lang w:eastAsia="en-NZ"/>
              </w:rPr>
              <w:t>P</w:t>
            </w:r>
            <w:r w:rsidRPr="00784438">
              <w:rPr>
                <w:spacing w:val="1"/>
                <w:lang w:eastAsia="en-NZ"/>
              </w:rPr>
              <w:t>r</w:t>
            </w:r>
            <w:r w:rsidRPr="00784438">
              <w:rPr>
                <w:lang w:eastAsia="en-NZ"/>
              </w:rPr>
              <w:t>e</w:t>
            </w:r>
            <w:r w:rsidRPr="00784438">
              <w:rPr>
                <w:spacing w:val="-2"/>
                <w:lang w:eastAsia="en-NZ"/>
              </w:rPr>
              <w:t>v</w:t>
            </w:r>
            <w:r w:rsidRPr="00784438">
              <w:rPr>
                <w:spacing w:val="-1"/>
                <w:lang w:eastAsia="en-NZ"/>
              </w:rPr>
              <w:t>i</w:t>
            </w:r>
            <w:r w:rsidRPr="00784438">
              <w:rPr>
                <w:lang w:eastAsia="en-NZ"/>
              </w:rPr>
              <w:t>ous</w:t>
            </w:r>
            <w:r w:rsidRPr="00784438">
              <w:rPr>
                <w:spacing w:val="1"/>
                <w:lang w:eastAsia="en-NZ"/>
              </w:rPr>
              <w:t xml:space="preserve"> </w:t>
            </w:r>
            <w:r w:rsidRPr="00784438">
              <w:rPr>
                <w:spacing w:val="-1"/>
                <w:lang w:eastAsia="en-NZ"/>
              </w:rPr>
              <w:t>i</w:t>
            </w:r>
            <w:r w:rsidRPr="00784438">
              <w:rPr>
                <w:lang w:eastAsia="en-NZ"/>
              </w:rPr>
              <w:t>nco</w:t>
            </w:r>
            <w:r w:rsidRPr="00784438">
              <w:rPr>
                <w:spacing w:val="1"/>
                <w:lang w:eastAsia="en-NZ"/>
              </w:rPr>
              <w:t>m</w:t>
            </w:r>
            <w:r w:rsidRPr="00784438">
              <w:rPr>
                <w:lang w:eastAsia="en-NZ"/>
              </w:rPr>
              <w:t>e</w:t>
            </w:r>
            <w:r w:rsidRPr="00784438">
              <w:rPr>
                <w:spacing w:val="1"/>
                <w:lang w:eastAsia="en-NZ"/>
              </w:rPr>
              <w:t xml:space="preserve"> </w:t>
            </w:r>
            <w:r w:rsidRPr="00784438">
              <w:rPr>
                <w:lang w:eastAsia="en-NZ"/>
              </w:rPr>
              <w:t>cap</w:t>
            </w:r>
          </w:p>
          <w:p w:rsidR="001D1E59" w:rsidRPr="00784438" w:rsidRDefault="001D1E59" w:rsidP="004513A0">
            <w:pPr>
              <w:autoSpaceDE w:val="0"/>
              <w:autoSpaceDN w:val="0"/>
              <w:adjustRightInd w:val="0"/>
              <w:spacing w:line="252" w:lineRule="exact"/>
              <w:ind w:left="102" w:right="-20"/>
              <w:rPr>
                <w:lang w:eastAsia="en-NZ"/>
              </w:rPr>
            </w:pPr>
            <w:r w:rsidRPr="00784438">
              <w:rPr>
                <w:lang w:eastAsia="en-NZ"/>
              </w:rPr>
              <w:t>85</w:t>
            </w:r>
            <w:r w:rsidRPr="00784438">
              <w:rPr>
                <w:spacing w:val="1"/>
                <w:lang w:eastAsia="en-NZ"/>
              </w:rPr>
              <w:t>,</w:t>
            </w:r>
            <w:r w:rsidRPr="00784438">
              <w:rPr>
                <w:lang w:eastAsia="en-NZ"/>
              </w:rPr>
              <w:t>000</w:t>
            </w:r>
            <w:r w:rsidRPr="00784438">
              <w:rPr>
                <w:spacing w:val="1"/>
                <w:lang w:eastAsia="en-NZ"/>
              </w:rPr>
              <w:t xml:space="preserve"> </w:t>
            </w:r>
            <w:r w:rsidRPr="00784438">
              <w:rPr>
                <w:lang w:eastAsia="en-NZ"/>
              </w:rPr>
              <w:t>one</w:t>
            </w:r>
            <w:r w:rsidRPr="00784438">
              <w:rPr>
                <w:spacing w:val="-1"/>
                <w:lang w:eastAsia="en-NZ"/>
              </w:rPr>
              <w:t xml:space="preserve"> </w:t>
            </w:r>
            <w:r w:rsidRPr="00784438">
              <w:rPr>
                <w:lang w:eastAsia="en-NZ"/>
              </w:rPr>
              <w:t xml:space="preserve">or </w:t>
            </w:r>
            <w:r w:rsidRPr="00784438">
              <w:rPr>
                <w:spacing w:val="1"/>
                <w:lang w:eastAsia="en-NZ"/>
              </w:rPr>
              <w:t>t</w:t>
            </w:r>
            <w:r w:rsidRPr="00784438">
              <w:rPr>
                <w:spacing w:val="-3"/>
                <w:lang w:eastAsia="en-NZ"/>
              </w:rPr>
              <w:t>w</w:t>
            </w:r>
            <w:r w:rsidRPr="00784438">
              <w:rPr>
                <w:lang w:eastAsia="en-NZ"/>
              </w:rPr>
              <w:t>o</w:t>
            </w:r>
            <w:r w:rsidRPr="00784438">
              <w:rPr>
                <w:spacing w:val="1"/>
                <w:lang w:eastAsia="en-NZ"/>
              </w:rPr>
              <w:t xml:space="preserve"> </w:t>
            </w:r>
            <w:r w:rsidRPr="00784438">
              <w:rPr>
                <w:lang w:eastAsia="en-NZ"/>
              </w:rPr>
              <w:t>bo</w:t>
            </w:r>
            <w:r w:rsidRPr="00784438">
              <w:rPr>
                <w:spacing w:val="-1"/>
                <w:lang w:eastAsia="en-NZ"/>
              </w:rPr>
              <w:t>r</w:t>
            </w:r>
            <w:r w:rsidRPr="00784438">
              <w:rPr>
                <w:spacing w:val="1"/>
                <w:lang w:eastAsia="en-NZ"/>
              </w:rPr>
              <w:t>r</w:t>
            </w:r>
            <w:r w:rsidRPr="00784438">
              <w:rPr>
                <w:spacing w:val="-3"/>
                <w:lang w:eastAsia="en-NZ"/>
              </w:rPr>
              <w:t>ow</w:t>
            </w:r>
            <w:r w:rsidRPr="00784438">
              <w:rPr>
                <w:lang w:eastAsia="en-NZ"/>
              </w:rPr>
              <w:t>er</w:t>
            </w:r>
          </w:p>
          <w:p w:rsidR="001D1E59" w:rsidRPr="00784438" w:rsidRDefault="001D1E59" w:rsidP="004513A0">
            <w:pPr>
              <w:autoSpaceDE w:val="0"/>
              <w:autoSpaceDN w:val="0"/>
              <w:adjustRightInd w:val="0"/>
              <w:spacing w:before="1"/>
              <w:ind w:left="102" w:right="-20"/>
              <w:rPr>
                <w:sz w:val="24"/>
                <w:szCs w:val="24"/>
                <w:lang w:eastAsia="en-NZ"/>
              </w:rPr>
            </w:pPr>
            <w:r w:rsidRPr="00784438">
              <w:rPr>
                <w:lang w:eastAsia="en-NZ"/>
              </w:rPr>
              <w:t>120</w:t>
            </w:r>
            <w:r w:rsidRPr="00784438">
              <w:rPr>
                <w:spacing w:val="1"/>
                <w:lang w:eastAsia="en-NZ"/>
              </w:rPr>
              <w:t>,</w:t>
            </w:r>
            <w:r w:rsidRPr="00784438">
              <w:rPr>
                <w:lang w:eastAsia="en-NZ"/>
              </w:rPr>
              <w:t>000</w:t>
            </w:r>
            <w:r w:rsidRPr="00784438">
              <w:rPr>
                <w:spacing w:val="-1"/>
                <w:lang w:eastAsia="en-NZ"/>
              </w:rPr>
              <w:t xml:space="preserve"> </w:t>
            </w:r>
            <w:r w:rsidRPr="00784438">
              <w:rPr>
                <w:spacing w:val="1"/>
                <w:lang w:eastAsia="en-NZ"/>
              </w:rPr>
              <w:t>t</w:t>
            </w:r>
            <w:r w:rsidRPr="00784438">
              <w:rPr>
                <w:lang w:eastAsia="en-NZ"/>
              </w:rPr>
              <w:t>h</w:t>
            </w:r>
            <w:r w:rsidRPr="00784438">
              <w:rPr>
                <w:spacing w:val="1"/>
                <w:lang w:eastAsia="en-NZ"/>
              </w:rPr>
              <w:t>r</w:t>
            </w:r>
            <w:r w:rsidRPr="00784438">
              <w:rPr>
                <w:lang w:eastAsia="en-NZ"/>
              </w:rPr>
              <w:t>ee</w:t>
            </w:r>
            <w:r w:rsidRPr="00784438">
              <w:rPr>
                <w:spacing w:val="-1"/>
                <w:lang w:eastAsia="en-NZ"/>
              </w:rPr>
              <w:t xml:space="preserve"> </w:t>
            </w:r>
            <w:r w:rsidRPr="00784438">
              <w:rPr>
                <w:lang w:eastAsia="en-NZ"/>
              </w:rPr>
              <w:t xml:space="preserve">or </w:t>
            </w:r>
            <w:r w:rsidRPr="00784438">
              <w:rPr>
                <w:spacing w:val="1"/>
                <w:lang w:eastAsia="en-NZ"/>
              </w:rPr>
              <w:t>m</w:t>
            </w:r>
            <w:r w:rsidRPr="00784438">
              <w:rPr>
                <w:spacing w:val="-3"/>
                <w:lang w:eastAsia="en-NZ"/>
              </w:rPr>
              <w:t>o</w:t>
            </w:r>
            <w:r w:rsidRPr="00784438">
              <w:rPr>
                <w:spacing w:val="1"/>
                <w:lang w:eastAsia="en-NZ"/>
              </w:rPr>
              <w:t>r</w:t>
            </w:r>
            <w:r w:rsidRPr="00784438">
              <w:rPr>
                <w:lang w:eastAsia="en-NZ"/>
              </w:rPr>
              <w:t>e</w:t>
            </w:r>
            <w:r w:rsidRPr="00784438">
              <w:rPr>
                <w:spacing w:val="1"/>
                <w:lang w:eastAsia="en-NZ"/>
              </w:rPr>
              <w:t xml:space="preserve"> </w:t>
            </w:r>
            <w:r w:rsidRPr="00784438">
              <w:rPr>
                <w:spacing w:val="-3"/>
                <w:lang w:eastAsia="en-NZ"/>
              </w:rPr>
              <w:t>b</w:t>
            </w:r>
            <w:r w:rsidRPr="00784438">
              <w:rPr>
                <w:lang w:eastAsia="en-NZ"/>
              </w:rPr>
              <w:t>o</w:t>
            </w:r>
            <w:r w:rsidRPr="00784438">
              <w:rPr>
                <w:spacing w:val="1"/>
                <w:lang w:eastAsia="en-NZ"/>
              </w:rPr>
              <w:t>rr</w:t>
            </w:r>
            <w:r w:rsidRPr="00784438">
              <w:rPr>
                <w:lang w:eastAsia="en-NZ"/>
              </w:rPr>
              <w:t>o</w:t>
            </w:r>
            <w:r w:rsidRPr="00784438">
              <w:rPr>
                <w:spacing w:val="-3"/>
                <w:lang w:eastAsia="en-NZ"/>
              </w:rPr>
              <w:t>w</w:t>
            </w:r>
            <w:r w:rsidRPr="00784438">
              <w:rPr>
                <w:lang w:eastAsia="en-NZ"/>
              </w:rPr>
              <w:t>e</w:t>
            </w:r>
            <w:r w:rsidRPr="00784438">
              <w:rPr>
                <w:spacing w:val="1"/>
                <w:lang w:eastAsia="en-NZ"/>
              </w:rPr>
              <w:t>r</w:t>
            </w:r>
            <w:r w:rsidRPr="00784438">
              <w:rPr>
                <w:lang w:eastAsia="en-NZ"/>
              </w:rPr>
              <w:t>s</w:t>
            </w:r>
          </w:p>
        </w:tc>
        <w:tc>
          <w:tcPr>
            <w:tcW w:w="4074" w:type="dxa"/>
          </w:tcPr>
          <w:p w:rsidR="001D1E59" w:rsidRPr="00784438" w:rsidRDefault="001D1E59" w:rsidP="004513A0">
            <w:pPr>
              <w:autoSpaceDE w:val="0"/>
              <w:autoSpaceDN w:val="0"/>
              <w:adjustRightInd w:val="0"/>
              <w:spacing w:line="250" w:lineRule="exact"/>
              <w:ind w:left="102" w:right="-20"/>
              <w:rPr>
                <w:lang w:eastAsia="en-NZ"/>
              </w:rPr>
            </w:pPr>
            <w:r w:rsidRPr="00784438">
              <w:rPr>
                <w:spacing w:val="-1"/>
                <w:lang w:eastAsia="en-NZ"/>
              </w:rPr>
              <w:t>N</w:t>
            </w:r>
            <w:r w:rsidRPr="00784438">
              <w:rPr>
                <w:lang w:eastAsia="en-NZ"/>
              </w:rPr>
              <w:t>ew</w:t>
            </w:r>
            <w:r w:rsidRPr="00784438">
              <w:rPr>
                <w:spacing w:val="-2"/>
                <w:lang w:eastAsia="en-NZ"/>
              </w:rPr>
              <w:t xml:space="preserve"> </w:t>
            </w:r>
            <w:r w:rsidRPr="00784438">
              <w:rPr>
                <w:spacing w:val="-1"/>
                <w:lang w:eastAsia="en-NZ"/>
              </w:rPr>
              <w:t>i</w:t>
            </w:r>
            <w:r w:rsidRPr="00784438">
              <w:rPr>
                <w:lang w:eastAsia="en-NZ"/>
              </w:rPr>
              <w:t>nco</w:t>
            </w:r>
            <w:r w:rsidRPr="00784438">
              <w:rPr>
                <w:spacing w:val="1"/>
                <w:lang w:eastAsia="en-NZ"/>
              </w:rPr>
              <w:t>m</w:t>
            </w:r>
            <w:r w:rsidRPr="00784438">
              <w:rPr>
                <w:lang w:eastAsia="en-NZ"/>
              </w:rPr>
              <w:t>e</w:t>
            </w:r>
            <w:r w:rsidRPr="00784438">
              <w:rPr>
                <w:spacing w:val="1"/>
                <w:lang w:eastAsia="en-NZ"/>
              </w:rPr>
              <w:t xml:space="preserve"> </w:t>
            </w:r>
            <w:r w:rsidRPr="00784438">
              <w:rPr>
                <w:lang w:eastAsia="en-NZ"/>
              </w:rPr>
              <w:t>cap:</w:t>
            </w:r>
          </w:p>
          <w:p w:rsidR="001D1E59" w:rsidRPr="00784438" w:rsidRDefault="001D1E59" w:rsidP="004513A0">
            <w:pPr>
              <w:autoSpaceDE w:val="0"/>
              <w:autoSpaceDN w:val="0"/>
              <w:adjustRightInd w:val="0"/>
              <w:spacing w:line="252" w:lineRule="exact"/>
              <w:ind w:left="102" w:right="-20"/>
              <w:rPr>
                <w:lang w:eastAsia="en-NZ"/>
              </w:rPr>
            </w:pPr>
            <w:r w:rsidRPr="00784438">
              <w:rPr>
                <w:lang w:eastAsia="en-NZ"/>
              </w:rPr>
              <w:t>$120</w:t>
            </w:r>
            <w:r w:rsidRPr="00784438">
              <w:rPr>
                <w:spacing w:val="1"/>
                <w:lang w:eastAsia="en-NZ"/>
              </w:rPr>
              <w:t>,</w:t>
            </w:r>
            <w:r w:rsidRPr="00784438">
              <w:rPr>
                <w:lang w:eastAsia="en-NZ"/>
              </w:rPr>
              <w:t>000</w:t>
            </w:r>
            <w:r w:rsidRPr="00784438">
              <w:rPr>
                <w:spacing w:val="1"/>
                <w:lang w:eastAsia="en-NZ"/>
              </w:rPr>
              <w:t xml:space="preserve"> </w:t>
            </w:r>
            <w:r w:rsidRPr="00784438">
              <w:rPr>
                <w:lang w:eastAsia="en-NZ"/>
              </w:rPr>
              <w:t>–</w:t>
            </w:r>
            <w:r w:rsidRPr="00784438">
              <w:rPr>
                <w:spacing w:val="-1"/>
                <w:lang w:eastAsia="en-NZ"/>
              </w:rPr>
              <w:t xml:space="preserve"> </w:t>
            </w:r>
            <w:r w:rsidRPr="00784438">
              <w:rPr>
                <w:lang w:eastAsia="en-NZ"/>
              </w:rPr>
              <w:t>one</w:t>
            </w:r>
            <w:r w:rsidRPr="00784438">
              <w:rPr>
                <w:spacing w:val="1"/>
                <w:lang w:eastAsia="en-NZ"/>
              </w:rPr>
              <w:t xml:space="preserve"> </w:t>
            </w:r>
            <w:r w:rsidRPr="00784438">
              <w:rPr>
                <w:lang w:eastAsia="en-NZ"/>
              </w:rPr>
              <w:t>b</w:t>
            </w:r>
            <w:r w:rsidRPr="00784438">
              <w:rPr>
                <w:spacing w:val="-3"/>
                <w:lang w:eastAsia="en-NZ"/>
              </w:rPr>
              <w:t>o</w:t>
            </w:r>
            <w:r w:rsidRPr="00784438">
              <w:rPr>
                <w:spacing w:val="1"/>
                <w:lang w:eastAsia="en-NZ"/>
              </w:rPr>
              <w:t>rr</w:t>
            </w:r>
            <w:r w:rsidRPr="00784438">
              <w:rPr>
                <w:lang w:eastAsia="en-NZ"/>
              </w:rPr>
              <w:t>o</w:t>
            </w:r>
            <w:r w:rsidRPr="00784438">
              <w:rPr>
                <w:spacing w:val="-3"/>
                <w:lang w:eastAsia="en-NZ"/>
              </w:rPr>
              <w:t>w</w:t>
            </w:r>
            <w:r w:rsidRPr="00784438">
              <w:rPr>
                <w:lang w:eastAsia="en-NZ"/>
              </w:rPr>
              <w:t>er</w:t>
            </w:r>
          </w:p>
          <w:p w:rsidR="001D1E59" w:rsidRPr="00784438" w:rsidRDefault="001D1E59" w:rsidP="004513A0">
            <w:pPr>
              <w:autoSpaceDE w:val="0"/>
              <w:autoSpaceDN w:val="0"/>
              <w:adjustRightInd w:val="0"/>
              <w:spacing w:before="1"/>
              <w:ind w:left="102" w:right="-20"/>
              <w:rPr>
                <w:sz w:val="24"/>
                <w:szCs w:val="24"/>
                <w:lang w:eastAsia="en-NZ"/>
              </w:rPr>
            </w:pPr>
            <w:r w:rsidRPr="00784438">
              <w:rPr>
                <w:lang w:eastAsia="en-NZ"/>
              </w:rPr>
              <w:t>$160</w:t>
            </w:r>
            <w:r w:rsidRPr="00784438">
              <w:rPr>
                <w:spacing w:val="1"/>
                <w:lang w:eastAsia="en-NZ"/>
              </w:rPr>
              <w:t>,</w:t>
            </w:r>
            <w:r w:rsidRPr="00784438">
              <w:rPr>
                <w:lang w:eastAsia="en-NZ"/>
              </w:rPr>
              <w:t>000</w:t>
            </w:r>
            <w:r w:rsidRPr="00784438">
              <w:rPr>
                <w:spacing w:val="1"/>
                <w:lang w:eastAsia="en-NZ"/>
              </w:rPr>
              <w:t xml:space="preserve"> </w:t>
            </w:r>
            <w:r w:rsidRPr="00784438">
              <w:rPr>
                <w:lang w:eastAsia="en-NZ"/>
              </w:rPr>
              <w:t>–</w:t>
            </w:r>
            <w:r w:rsidRPr="00784438">
              <w:rPr>
                <w:spacing w:val="-1"/>
                <w:lang w:eastAsia="en-NZ"/>
              </w:rPr>
              <w:t xml:space="preserve"> </w:t>
            </w:r>
            <w:r w:rsidRPr="00784438">
              <w:rPr>
                <w:spacing w:val="1"/>
                <w:lang w:eastAsia="en-NZ"/>
              </w:rPr>
              <w:t>t</w:t>
            </w:r>
            <w:r w:rsidRPr="00784438">
              <w:rPr>
                <w:spacing w:val="-3"/>
                <w:lang w:eastAsia="en-NZ"/>
              </w:rPr>
              <w:t>w</w:t>
            </w:r>
            <w:r w:rsidRPr="00784438">
              <w:rPr>
                <w:lang w:eastAsia="en-NZ"/>
              </w:rPr>
              <w:t>o</w:t>
            </w:r>
            <w:r w:rsidRPr="00784438">
              <w:rPr>
                <w:spacing w:val="1"/>
                <w:lang w:eastAsia="en-NZ"/>
              </w:rPr>
              <w:t xml:space="preserve"> </w:t>
            </w:r>
            <w:r w:rsidRPr="00784438">
              <w:rPr>
                <w:lang w:eastAsia="en-NZ"/>
              </w:rPr>
              <w:t>bo</w:t>
            </w:r>
            <w:r w:rsidRPr="00784438">
              <w:rPr>
                <w:spacing w:val="-1"/>
                <w:lang w:eastAsia="en-NZ"/>
              </w:rPr>
              <w:t>r</w:t>
            </w:r>
            <w:r w:rsidRPr="00784438">
              <w:rPr>
                <w:spacing w:val="1"/>
                <w:lang w:eastAsia="en-NZ"/>
              </w:rPr>
              <w:t>r</w:t>
            </w:r>
            <w:r w:rsidRPr="00784438">
              <w:rPr>
                <w:lang w:eastAsia="en-NZ"/>
              </w:rPr>
              <w:t>o</w:t>
            </w:r>
            <w:r w:rsidRPr="00784438">
              <w:rPr>
                <w:spacing w:val="-3"/>
                <w:lang w:eastAsia="en-NZ"/>
              </w:rPr>
              <w:t>w</w:t>
            </w:r>
            <w:r w:rsidRPr="00784438">
              <w:rPr>
                <w:lang w:eastAsia="en-NZ"/>
              </w:rPr>
              <w:t>e</w:t>
            </w:r>
            <w:r w:rsidRPr="00784438">
              <w:rPr>
                <w:spacing w:val="1"/>
                <w:lang w:eastAsia="en-NZ"/>
              </w:rPr>
              <w:t>r</w:t>
            </w:r>
            <w:r w:rsidRPr="00784438">
              <w:rPr>
                <w:lang w:eastAsia="en-NZ"/>
              </w:rPr>
              <w:t>s</w:t>
            </w:r>
          </w:p>
        </w:tc>
      </w:tr>
      <w:tr w:rsidR="001D1E59" w:rsidRPr="00784438" w:rsidTr="004513A0">
        <w:trPr>
          <w:trHeight w:hRule="exact" w:val="770"/>
        </w:trPr>
        <w:tc>
          <w:tcPr>
            <w:tcW w:w="3685" w:type="dxa"/>
          </w:tcPr>
          <w:p w:rsidR="001D1E59" w:rsidRPr="00784438" w:rsidRDefault="001D1E59" w:rsidP="004513A0">
            <w:pPr>
              <w:autoSpaceDE w:val="0"/>
              <w:autoSpaceDN w:val="0"/>
              <w:adjustRightInd w:val="0"/>
              <w:spacing w:before="4" w:line="252" w:lineRule="exact"/>
              <w:ind w:left="102" w:right="186"/>
              <w:jc w:val="both"/>
              <w:rPr>
                <w:sz w:val="24"/>
                <w:szCs w:val="24"/>
                <w:lang w:eastAsia="en-NZ"/>
              </w:rPr>
            </w:pPr>
            <w:r w:rsidRPr="00784438">
              <w:rPr>
                <w:lang w:eastAsia="en-NZ"/>
              </w:rPr>
              <w:t>Loans</w:t>
            </w:r>
            <w:r w:rsidRPr="00784438">
              <w:rPr>
                <w:spacing w:val="1"/>
                <w:lang w:eastAsia="en-NZ"/>
              </w:rPr>
              <w:t xml:space="preserve"> </w:t>
            </w:r>
            <w:r w:rsidRPr="00784438">
              <w:rPr>
                <w:lang w:eastAsia="en-NZ"/>
              </w:rPr>
              <w:t>on</w:t>
            </w:r>
            <w:r w:rsidRPr="00784438">
              <w:rPr>
                <w:spacing w:val="-1"/>
                <w:lang w:eastAsia="en-NZ"/>
              </w:rPr>
              <w:t>l</w:t>
            </w:r>
            <w:r w:rsidRPr="00784438">
              <w:rPr>
                <w:lang w:eastAsia="en-NZ"/>
              </w:rPr>
              <w:t>y</w:t>
            </w:r>
            <w:r w:rsidRPr="00784438">
              <w:rPr>
                <w:spacing w:val="-1"/>
                <w:lang w:eastAsia="en-NZ"/>
              </w:rPr>
              <w:t xml:space="preserve"> </w:t>
            </w:r>
            <w:r w:rsidRPr="00784438">
              <w:rPr>
                <w:lang w:eastAsia="en-NZ"/>
              </w:rPr>
              <w:t>a</w:t>
            </w:r>
            <w:r w:rsidRPr="00784438">
              <w:rPr>
                <w:spacing w:val="-2"/>
                <w:lang w:eastAsia="en-NZ"/>
              </w:rPr>
              <w:t>v</w:t>
            </w:r>
            <w:r w:rsidRPr="00784438">
              <w:rPr>
                <w:lang w:eastAsia="en-NZ"/>
              </w:rPr>
              <w:t>a</w:t>
            </w:r>
            <w:r w:rsidRPr="00784438">
              <w:rPr>
                <w:spacing w:val="-1"/>
                <w:lang w:eastAsia="en-NZ"/>
              </w:rPr>
              <w:t>il</w:t>
            </w:r>
            <w:r w:rsidRPr="00784438">
              <w:rPr>
                <w:lang w:eastAsia="en-NZ"/>
              </w:rPr>
              <w:t>a</w:t>
            </w:r>
            <w:r w:rsidRPr="00784438">
              <w:rPr>
                <w:spacing w:val="2"/>
                <w:lang w:eastAsia="en-NZ"/>
              </w:rPr>
              <w:t>b</w:t>
            </w:r>
            <w:r w:rsidRPr="00784438">
              <w:rPr>
                <w:spacing w:val="-1"/>
                <w:lang w:eastAsia="en-NZ"/>
              </w:rPr>
              <w:t>l</w:t>
            </w:r>
            <w:r w:rsidRPr="00784438">
              <w:rPr>
                <w:lang w:eastAsia="en-NZ"/>
              </w:rPr>
              <w:t>e</w:t>
            </w:r>
            <w:r w:rsidRPr="00784438">
              <w:rPr>
                <w:spacing w:val="1"/>
                <w:lang w:eastAsia="en-NZ"/>
              </w:rPr>
              <w:t xml:space="preserve"> </w:t>
            </w:r>
            <w:r w:rsidRPr="00784438">
              <w:rPr>
                <w:spacing w:val="3"/>
                <w:lang w:eastAsia="en-NZ"/>
              </w:rPr>
              <w:t>f</w:t>
            </w:r>
            <w:r w:rsidRPr="00784438">
              <w:rPr>
                <w:spacing w:val="-3"/>
                <w:lang w:eastAsia="en-NZ"/>
              </w:rPr>
              <w:t>o</w:t>
            </w:r>
            <w:r w:rsidRPr="00784438">
              <w:rPr>
                <w:lang w:eastAsia="en-NZ"/>
              </w:rPr>
              <w:t>r bu</w:t>
            </w:r>
            <w:r w:rsidRPr="00784438">
              <w:rPr>
                <w:spacing w:val="-1"/>
                <w:lang w:eastAsia="en-NZ"/>
              </w:rPr>
              <w:t>il</w:t>
            </w:r>
            <w:r w:rsidRPr="00784438">
              <w:rPr>
                <w:lang w:eastAsia="en-NZ"/>
              </w:rPr>
              <w:t>d</w:t>
            </w:r>
            <w:r w:rsidRPr="00784438">
              <w:rPr>
                <w:spacing w:val="-1"/>
                <w:lang w:eastAsia="en-NZ"/>
              </w:rPr>
              <w:t>i</w:t>
            </w:r>
            <w:r w:rsidRPr="00784438">
              <w:rPr>
                <w:lang w:eastAsia="en-NZ"/>
              </w:rPr>
              <w:t>n</w:t>
            </w:r>
            <w:r w:rsidRPr="00784438">
              <w:rPr>
                <w:spacing w:val="2"/>
                <w:lang w:eastAsia="en-NZ"/>
              </w:rPr>
              <w:t>g</w:t>
            </w:r>
            <w:r w:rsidRPr="00784438">
              <w:rPr>
                <w:lang w:eastAsia="en-NZ"/>
              </w:rPr>
              <w:t>,</w:t>
            </w:r>
            <w:r w:rsidRPr="00784438">
              <w:rPr>
                <w:spacing w:val="2"/>
                <w:lang w:eastAsia="en-NZ"/>
              </w:rPr>
              <w:t xml:space="preserve"> </w:t>
            </w:r>
            <w:r w:rsidRPr="00784438">
              <w:rPr>
                <w:lang w:eastAsia="en-NZ"/>
              </w:rPr>
              <w:t>bu</w:t>
            </w:r>
            <w:r w:rsidRPr="00784438">
              <w:rPr>
                <w:spacing w:val="-2"/>
                <w:lang w:eastAsia="en-NZ"/>
              </w:rPr>
              <w:t>y</w:t>
            </w:r>
            <w:r w:rsidRPr="00784438">
              <w:rPr>
                <w:spacing w:val="-1"/>
                <w:lang w:eastAsia="en-NZ"/>
              </w:rPr>
              <w:t>i</w:t>
            </w:r>
            <w:r w:rsidRPr="00784438">
              <w:rPr>
                <w:lang w:eastAsia="en-NZ"/>
              </w:rPr>
              <w:t>ng or</w:t>
            </w:r>
            <w:r w:rsidRPr="00784438">
              <w:rPr>
                <w:spacing w:val="2"/>
                <w:lang w:eastAsia="en-NZ"/>
              </w:rPr>
              <w:t xml:space="preserve"> </w:t>
            </w:r>
            <w:r w:rsidRPr="00784438">
              <w:rPr>
                <w:spacing w:val="-1"/>
                <w:lang w:eastAsia="en-NZ"/>
              </w:rPr>
              <w:t>r</w:t>
            </w:r>
            <w:r w:rsidRPr="00784438">
              <w:rPr>
                <w:lang w:eastAsia="en-NZ"/>
              </w:rPr>
              <w:t>e</w:t>
            </w:r>
            <w:r w:rsidRPr="00784438">
              <w:rPr>
                <w:spacing w:val="1"/>
                <w:lang w:eastAsia="en-NZ"/>
              </w:rPr>
              <w:t>-</w:t>
            </w:r>
            <w:r w:rsidRPr="00784438">
              <w:rPr>
                <w:spacing w:val="-1"/>
                <w:lang w:eastAsia="en-NZ"/>
              </w:rPr>
              <w:t>l</w:t>
            </w:r>
            <w:r w:rsidRPr="00784438">
              <w:rPr>
                <w:lang w:eastAsia="en-NZ"/>
              </w:rPr>
              <w:t>oca</w:t>
            </w:r>
            <w:r w:rsidRPr="00784438">
              <w:rPr>
                <w:spacing w:val="1"/>
                <w:lang w:eastAsia="en-NZ"/>
              </w:rPr>
              <w:t>t</w:t>
            </w:r>
            <w:r w:rsidRPr="00784438">
              <w:rPr>
                <w:spacing w:val="-1"/>
                <w:lang w:eastAsia="en-NZ"/>
              </w:rPr>
              <w:t>i</w:t>
            </w:r>
            <w:r w:rsidRPr="00784438">
              <w:rPr>
                <w:spacing w:val="-3"/>
                <w:lang w:eastAsia="en-NZ"/>
              </w:rPr>
              <w:t>n</w:t>
            </w:r>
            <w:r w:rsidRPr="00784438">
              <w:rPr>
                <w:lang w:eastAsia="en-NZ"/>
              </w:rPr>
              <w:t>g</w:t>
            </w:r>
            <w:r w:rsidRPr="00784438">
              <w:rPr>
                <w:spacing w:val="1"/>
                <w:lang w:eastAsia="en-NZ"/>
              </w:rPr>
              <w:t xml:space="preserve"> </w:t>
            </w:r>
            <w:r w:rsidRPr="00784438">
              <w:rPr>
                <w:lang w:eastAsia="en-NZ"/>
              </w:rPr>
              <w:t>ho</w:t>
            </w:r>
            <w:r w:rsidRPr="00784438">
              <w:rPr>
                <w:spacing w:val="1"/>
                <w:lang w:eastAsia="en-NZ"/>
              </w:rPr>
              <w:t>m</w:t>
            </w:r>
            <w:r w:rsidRPr="00784438">
              <w:rPr>
                <w:lang w:eastAsia="en-NZ"/>
              </w:rPr>
              <w:t>es</w:t>
            </w:r>
            <w:r w:rsidRPr="00784438">
              <w:rPr>
                <w:spacing w:val="-1"/>
                <w:lang w:eastAsia="en-NZ"/>
              </w:rPr>
              <w:t xml:space="preserve"> </w:t>
            </w:r>
            <w:r w:rsidRPr="00784438">
              <w:rPr>
                <w:lang w:eastAsia="en-NZ"/>
              </w:rPr>
              <w:t>on</w:t>
            </w:r>
            <w:r w:rsidRPr="00784438">
              <w:rPr>
                <w:spacing w:val="-1"/>
                <w:lang w:eastAsia="en-NZ"/>
              </w:rPr>
              <w:t xml:space="preserve"> </w:t>
            </w:r>
            <w:r w:rsidRPr="00784438">
              <w:rPr>
                <w:spacing w:val="1"/>
                <w:lang w:eastAsia="en-NZ"/>
              </w:rPr>
              <w:t>m</w:t>
            </w:r>
            <w:r w:rsidRPr="00784438">
              <w:rPr>
                <w:lang w:eastAsia="en-NZ"/>
              </w:rPr>
              <w:t>u</w:t>
            </w:r>
            <w:r w:rsidRPr="00784438">
              <w:rPr>
                <w:spacing w:val="-1"/>
                <w:lang w:eastAsia="en-NZ"/>
              </w:rPr>
              <w:t>l</w:t>
            </w:r>
            <w:r w:rsidRPr="00784438">
              <w:rPr>
                <w:spacing w:val="1"/>
                <w:lang w:eastAsia="en-NZ"/>
              </w:rPr>
              <w:t>t</w:t>
            </w:r>
            <w:r w:rsidRPr="00784438">
              <w:rPr>
                <w:spacing w:val="-1"/>
                <w:lang w:eastAsia="en-NZ"/>
              </w:rPr>
              <w:t>i</w:t>
            </w:r>
            <w:r w:rsidRPr="00784438">
              <w:rPr>
                <w:lang w:eastAsia="en-NZ"/>
              </w:rPr>
              <w:t>p</w:t>
            </w:r>
            <w:r w:rsidRPr="00784438">
              <w:rPr>
                <w:spacing w:val="-1"/>
                <w:lang w:eastAsia="en-NZ"/>
              </w:rPr>
              <w:t>l</w:t>
            </w:r>
            <w:r w:rsidRPr="00784438">
              <w:rPr>
                <w:lang w:eastAsia="en-NZ"/>
              </w:rPr>
              <w:t>e</w:t>
            </w:r>
            <w:r w:rsidRPr="00784438">
              <w:rPr>
                <w:spacing w:val="1"/>
                <w:lang w:eastAsia="en-NZ"/>
              </w:rPr>
              <w:t>-</w:t>
            </w:r>
            <w:r w:rsidRPr="00784438">
              <w:rPr>
                <w:lang w:eastAsia="en-NZ"/>
              </w:rPr>
              <w:t>o</w:t>
            </w:r>
            <w:r w:rsidRPr="00784438">
              <w:rPr>
                <w:spacing w:val="-3"/>
                <w:lang w:eastAsia="en-NZ"/>
              </w:rPr>
              <w:t>w</w:t>
            </w:r>
            <w:r w:rsidRPr="00784438">
              <w:rPr>
                <w:lang w:eastAsia="en-NZ"/>
              </w:rPr>
              <w:t xml:space="preserve">ned </w:t>
            </w:r>
            <w:r w:rsidRPr="00784438">
              <w:rPr>
                <w:spacing w:val="-4"/>
                <w:lang w:eastAsia="en-NZ"/>
              </w:rPr>
              <w:t>M</w:t>
            </w:r>
            <w:r w:rsidRPr="00784438">
              <w:rPr>
                <w:lang w:eastAsia="en-NZ"/>
              </w:rPr>
              <w:t>āo</w:t>
            </w:r>
            <w:r w:rsidRPr="00784438">
              <w:rPr>
                <w:spacing w:val="1"/>
                <w:lang w:eastAsia="en-NZ"/>
              </w:rPr>
              <w:t>r</w:t>
            </w:r>
            <w:r w:rsidRPr="00784438">
              <w:rPr>
                <w:lang w:eastAsia="en-NZ"/>
              </w:rPr>
              <w:t xml:space="preserve">i </w:t>
            </w:r>
            <w:r w:rsidRPr="00784438">
              <w:rPr>
                <w:spacing w:val="-1"/>
                <w:lang w:eastAsia="en-NZ"/>
              </w:rPr>
              <w:t>l</w:t>
            </w:r>
            <w:r w:rsidRPr="00784438">
              <w:rPr>
                <w:lang w:eastAsia="en-NZ"/>
              </w:rPr>
              <w:t>and.</w:t>
            </w:r>
          </w:p>
        </w:tc>
        <w:tc>
          <w:tcPr>
            <w:tcW w:w="4074" w:type="dxa"/>
          </w:tcPr>
          <w:p w:rsidR="001D1E59" w:rsidRPr="00784438" w:rsidRDefault="001D1E59" w:rsidP="004513A0">
            <w:pPr>
              <w:autoSpaceDE w:val="0"/>
              <w:autoSpaceDN w:val="0"/>
              <w:adjustRightInd w:val="0"/>
              <w:spacing w:before="4" w:line="252" w:lineRule="exact"/>
              <w:ind w:left="102" w:right="473"/>
              <w:rPr>
                <w:sz w:val="24"/>
                <w:szCs w:val="24"/>
                <w:lang w:eastAsia="en-NZ"/>
              </w:rPr>
            </w:pPr>
            <w:r w:rsidRPr="00784438">
              <w:rPr>
                <w:lang w:eastAsia="en-NZ"/>
              </w:rPr>
              <w:t>Loans</w:t>
            </w:r>
            <w:r w:rsidRPr="00784438">
              <w:rPr>
                <w:spacing w:val="1"/>
                <w:lang w:eastAsia="en-NZ"/>
              </w:rPr>
              <w:t xml:space="preserve"> </w:t>
            </w:r>
            <w:r w:rsidRPr="00784438">
              <w:rPr>
                <w:lang w:eastAsia="en-NZ"/>
              </w:rPr>
              <w:t>can</w:t>
            </w:r>
            <w:r w:rsidRPr="00784438">
              <w:rPr>
                <w:spacing w:val="1"/>
                <w:lang w:eastAsia="en-NZ"/>
              </w:rPr>
              <w:t xml:space="preserve"> </w:t>
            </w:r>
            <w:r w:rsidRPr="00784438">
              <w:rPr>
                <w:spacing w:val="-3"/>
                <w:lang w:eastAsia="en-NZ"/>
              </w:rPr>
              <w:t>b</w:t>
            </w:r>
            <w:r w:rsidRPr="00784438">
              <w:rPr>
                <w:lang w:eastAsia="en-NZ"/>
              </w:rPr>
              <w:t>e</w:t>
            </w:r>
            <w:r w:rsidRPr="00784438">
              <w:rPr>
                <w:spacing w:val="-1"/>
                <w:lang w:eastAsia="en-NZ"/>
              </w:rPr>
              <w:t xml:space="preserve"> </w:t>
            </w:r>
            <w:r w:rsidRPr="00784438">
              <w:rPr>
                <w:lang w:eastAsia="en-NZ"/>
              </w:rPr>
              <w:t>g</w:t>
            </w:r>
            <w:r w:rsidRPr="00784438">
              <w:rPr>
                <w:spacing w:val="1"/>
                <w:lang w:eastAsia="en-NZ"/>
              </w:rPr>
              <w:t>r</w:t>
            </w:r>
            <w:r w:rsidRPr="00784438">
              <w:rPr>
                <w:lang w:eastAsia="en-NZ"/>
              </w:rPr>
              <w:t>an</w:t>
            </w:r>
            <w:r w:rsidRPr="00784438">
              <w:rPr>
                <w:spacing w:val="1"/>
                <w:lang w:eastAsia="en-NZ"/>
              </w:rPr>
              <w:t>t</w:t>
            </w:r>
            <w:r w:rsidRPr="00784438">
              <w:rPr>
                <w:lang w:eastAsia="en-NZ"/>
              </w:rPr>
              <w:t>ed</w:t>
            </w:r>
            <w:r w:rsidRPr="00784438">
              <w:rPr>
                <w:spacing w:val="-4"/>
                <w:lang w:eastAsia="en-NZ"/>
              </w:rPr>
              <w:t xml:space="preserve"> </w:t>
            </w:r>
            <w:r w:rsidRPr="00784438">
              <w:rPr>
                <w:spacing w:val="3"/>
                <w:lang w:eastAsia="en-NZ"/>
              </w:rPr>
              <w:t>f</w:t>
            </w:r>
            <w:r w:rsidRPr="00784438">
              <w:rPr>
                <w:spacing w:val="-3"/>
                <w:lang w:eastAsia="en-NZ"/>
              </w:rPr>
              <w:t>o</w:t>
            </w:r>
            <w:r w:rsidRPr="00784438">
              <w:rPr>
                <w:lang w:eastAsia="en-NZ"/>
              </w:rPr>
              <w:t xml:space="preserve">r </w:t>
            </w:r>
            <w:r w:rsidRPr="00784438">
              <w:rPr>
                <w:spacing w:val="1"/>
                <w:lang w:eastAsia="en-NZ"/>
              </w:rPr>
              <w:t>r</w:t>
            </w:r>
            <w:r w:rsidRPr="00784438">
              <w:rPr>
                <w:lang w:eastAsia="en-NZ"/>
              </w:rPr>
              <w:t>epa</w:t>
            </w:r>
            <w:r w:rsidRPr="00784438">
              <w:rPr>
                <w:spacing w:val="-1"/>
                <w:lang w:eastAsia="en-NZ"/>
              </w:rPr>
              <w:t>i</w:t>
            </w:r>
            <w:r w:rsidRPr="00784438">
              <w:rPr>
                <w:spacing w:val="1"/>
                <w:lang w:eastAsia="en-NZ"/>
              </w:rPr>
              <w:t>r</w:t>
            </w:r>
            <w:r w:rsidRPr="00784438">
              <w:rPr>
                <w:lang w:eastAsia="en-NZ"/>
              </w:rPr>
              <w:t>s</w:t>
            </w:r>
            <w:r w:rsidRPr="00784438">
              <w:rPr>
                <w:spacing w:val="-1"/>
                <w:lang w:eastAsia="en-NZ"/>
              </w:rPr>
              <w:t xml:space="preserve"> </w:t>
            </w:r>
            <w:r w:rsidRPr="00784438">
              <w:rPr>
                <w:lang w:eastAsia="en-NZ"/>
              </w:rPr>
              <w:t xml:space="preserve">and </w:t>
            </w:r>
            <w:r w:rsidRPr="00784438">
              <w:rPr>
                <w:spacing w:val="1"/>
                <w:lang w:eastAsia="en-NZ"/>
              </w:rPr>
              <w:t>m</w:t>
            </w:r>
            <w:r w:rsidRPr="00784438">
              <w:rPr>
                <w:lang w:eastAsia="en-NZ"/>
              </w:rPr>
              <w:t>a</w:t>
            </w:r>
            <w:r w:rsidRPr="00784438">
              <w:rPr>
                <w:spacing w:val="-1"/>
                <w:lang w:eastAsia="en-NZ"/>
              </w:rPr>
              <w:t>i</w:t>
            </w:r>
            <w:r w:rsidRPr="00784438">
              <w:rPr>
                <w:lang w:eastAsia="en-NZ"/>
              </w:rPr>
              <w:t>n</w:t>
            </w:r>
            <w:r w:rsidRPr="00784438">
              <w:rPr>
                <w:spacing w:val="1"/>
                <w:lang w:eastAsia="en-NZ"/>
              </w:rPr>
              <w:t>t</w:t>
            </w:r>
            <w:r w:rsidRPr="00784438">
              <w:rPr>
                <w:lang w:eastAsia="en-NZ"/>
              </w:rPr>
              <w:t>enance</w:t>
            </w:r>
            <w:r w:rsidRPr="00784438">
              <w:rPr>
                <w:spacing w:val="-1"/>
                <w:lang w:eastAsia="en-NZ"/>
              </w:rPr>
              <w:t xml:space="preserve"> </w:t>
            </w:r>
            <w:r w:rsidRPr="00784438">
              <w:rPr>
                <w:spacing w:val="1"/>
                <w:lang w:eastAsia="en-NZ"/>
              </w:rPr>
              <w:t>t</w:t>
            </w:r>
            <w:r w:rsidRPr="00784438">
              <w:rPr>
                <w:lang w:eastAsia="en-NZ"/>
              </w:rPr>
              <w:t>o</w:t>
            </w:r>
            <w:r w:rsidRPr="00784438">
              <w:rPr>
                <w:spacing w:val="-1"/>
                <w:lang w:eastAsia="en-NZ"/>
              </w:rPr>
              <w:t xml:space="preserve"> </w:t>
            </w:r>
            <w:r w:rsidRPr="00784438">
              <w:rPr>
                <w:lang w:eastAsia="en-NZ"/>
              </w:rPr>
              <w:t>e</w:t>
            </w:r>
            <w:r w:rsidRPr="00784438">
              <w:rPr>
                <w:spacing w:val="-2"/>
                <w:lang w:eastAsia="en-NZ"/>
              </w:rPr>
              <w:t>x</w:t>
            </w:r>
            <w:r w:rsidRPr="00784438">
              <w:rPr>
                <w:spacing w:val="-1"/>
                <w:lang w:eastAsia="en-NZ"/>
              </w:rPr>
              <w:t>i</w:t>
            </w:r>
            <w:r w:rsidRPr="00784438">
              <w:rPr>
                <w:lang w:eastAsia="en-NZ"/>
              </w:rPr>
              <w:t>s</w:t>
            </w:r>
            <w:r w:rsidRPr="00784438">
              <w:rPr>
                <w:spacing w:val="1"/>
                <w:lang w:eastAsia="en-NZ"/>
              </w:rPr>
              <w:t>t</w:t>
            </w:r>
            <w:r w:rsidRPr="00784438">
              <w:rPr>
                <w:spacing w:val="-1"/>
                <w:lang w:eastAsia="en-NZ"/>
              </w:rPr>
              <w:t>i</w:t>
            </w:r>
            <w:r w:rsidRPr="00784438">
              <w:rPr>
                <w:lang w:eastAsia="en-NZ"/>
              </w:rPr>
              <w:t>ng</w:t>
            </w:r>
            <w:r w:rsidRPr="00784438">
              <w:rPr>
                <w:spacing w:val="1"/>
                <w:lang w:eastAsia="en-NZ"/>
              </w:rPr>
              <w:t xml:space="preserve"> </w:t>
            </w:r>
            <w:r w:rsidRPr="00784438">
              <w:rPr>
                <w:lang w:eastAsia="en-NZ"/>
              </w:rPr>
              <w:t>ho</w:t>
            </w:r>
            <w:r w:rsidRPr="00784438">
              <w:rPr>
                <w:spacing w:val="1"/>
                <w:lang w:eastAsia="en-NZ"/>
              </w:rPr>
              <w:t>m</w:t>
            </w:r>
            <w:r w:rsidRPr="00784438">
              <w:rPr>
                <w:lang w:eastAsia="en-NZ"/>
              </w:rPr>
              <w:t>es</w:t>
            </w:r>
            <w:r w:rsidRPr="00784438">
              <w:rPr>
                <w:spacing w:val="1"/>
                <w:lang w:eastAsia="en-NZ"/>
              </w:rPr>
              <w:t xml:space="preserve"> </w:t>
            </w:r>
            <w:r w:rsidRPr="00784438">
              <w:rPr>
                <w:lang w:eastAsia="en-NZ"/>
              </w:rPr>
              <w:t xml:space="preserve">on </w:t>
            </w:r>
            <w:r w:rsidRPr="00784438">
              <w:rPr>
                <w:spacing w:val="1"/>
                <w:lang w:eastAsia="en-NZ"/>
              </w:rPr>
              <w:t>m</w:t>
            </w:r>
            <w:r w:rsidRPr="00784438">
              <w:rPr>
                <w:lang w:eastAsia="en-NZ"/>
              </w:rPr>
              <w:t>u</w:t>
            </w:r>
            <w:r w:rsidRPr="00784438">
              <w:rPr>
                <w:spacing w:val="-1"/>
                <w:lang w:eastAsia="en-NZ"/>
              </w:rPr>
              <w:t>l</w:t>
            </w:r>
            <w:r w:rsidRPr="00784438">
              <w:rPr>
                <w:spacing w:val="1"/>
                <w:lang w:eastAsia="en-NZ"/>
              </w:rPr>
              <w:t>t</w:t>
            </w:r>
            <w:r w:rsidRPr="00784438">
              <w:rPr>
                <w:spacing w:val="-1"/>
                <w:lang w:eastAsia="en-NZ"/>
              </w:rPr>
              <w:t>i</w:t>
            </w:r>
            <w:r w:rsidRPr="00784438">
              <w:rPr>
                <w:lang w:eastAsia="en-NZ"/>
              </w:rPr>
              <w:t>p</w:t>
            </w:r>
            <w:r w:rsidRPr="00784438">
              <w:rPr>
                <w:spacing w:val="-1"/>
                <w:lang w:eastAsia="en-NZ"/>
              </w:rPr>
              <w:t>l</w:t>
            </w:r>
            <w:r w:rsidRPr="00784438">
              <w:rPr>
                <w:lang w:eastAsia="en-NZ"/>
              </w:rPr>
              <w:t>e</w:t>
            </w:r>
            <w:r w:rsidRPr="00784438">
              <w:rPr>
                <w:spacing w:val="1"/>
                <w:lang w:eastAsia="en-NZ"/>
              </w:rPr>
              <w:t>-</w:t>
            </w:r>
            <w:r w:rsidRPr="00784438">
              <w:rPr>
                <w:lang w:eastAsia="en-NZ"/>
              </w:rPr>
              <w:t>o</w:t>
            </w:r>
            <w:r w:rsidRPr="00784438">
              <w:rPr>
                <w:spacing w:val="-3"/>
                <w:lang w:eastAsia="en-NZ"/>
              </w:rPr>
              <w:t>w</w:t>
            </w:r>
            <w:r w:rsidRPr="00784438">
              <w:rPr>
                <w:lang w:eastAsia="en-NZ"/>
              </w:rPr>
              <w:t>ned</w:t>
            </w:r>
            <w:r w:rsidRPr="00784438">
              <w:rPr>
                <w:spacing w:val="1"/>
                <w:lang w:eastAsia="en-NZ"/>
              </w:rPr>
              <w:t xml:space="preserve"> </w:t>
            </w:r>
            <w:r w:rsidRPr="00784438">
              <w:rPr>
                <w:spacing w:val="-4"/>
                <w:lang w:eastAsia="en-NZ"/>
              </w:rPr>
              <w:t>M</w:t>
            </w:r>
            <w:r w:rsidRPr="00784438">
              <w:rPr>
                <w:lang w:eastAsia="en-NZ"/>
              </w:rPr>
              <w:t>āo</w:t>
            </w:r>
            <w:r w:rsidRPr="00784438">
              <w:rPr>
                <w:spacing w:val="1"/>
                <w:lang w:eastAsia="en-NZ"/>
              </w:rPr>
              <w:t>r</w:t>
            </w:r>
            <w:r w:rsidRPr="00784438">
              <w:rPr>
                <w:lang w:eastAsia="en-NZ"/>
              </w:rPr>
              <w:t xml:space="preserve">i </w:t>
            </w:r>
            <w:r w:rsidRPr="00784438">
              <w:rPr>
                <w:spacing w:val="-1"/>
                <w:lang w:eastAsia="en-NZ"/>
              </w:rPr>
              <w:t>l</w:t>
            </w:r>
            <w:r w:rsidRPr="00784438">
              <w:rPr>
                <w:lang w:eastAsia="en-NZ"/>
              </w:rPr>
              <w:t>a</w:t>
            </w:r>
            <w:r w:rsidRPr="00784438">
              <w:rPr>
                <w:spacing w:val="2"/>
                <w:lang w:eastAsia="en-NZ"/>
              </w:rPr>
              <w:t>n</w:t>
            </w:r>
            <w:r w:rsidRPr="00784438">
              <w:rPr>
                <w:lang w:eastAsia="en-NZ"/>
              </w:rPr>
              <w:t>d.</w:t>
            </w:r>
          </w:p>
        </w:tc>
      </w:tr>
      <w:tr w:rsidR="001D1E59" w:rsidRPr="00784438" w:rsidTr="004513A0">
        <w:trPr>
          <w:trHeight w:hRule="exact" w:val="262"/>
        </w:trPr>
        <w:tc>
          <w:tcPr>
            <w:tcW w:w="3685" w:type="dxa"/>
          </w:tcPr>
          <w:p w:rsidR="001D1E59" w:rsidRPr="00784438" w:rsidRDefault="001D1E59" w:rsidP="004513A0">
            <w:pPr>
              <w:autoSpaceDE w:val="0"/>
              <w:autoSpaceDN w:val="0"/>
              <w:adjustRightInd w:val="0"/>
              <w:spacing w:line="250" w:lineRule="exact"/>
              <w:ind w:left="102" w:right="-20"/>
              <w:rPr>
                <w:sz w:val="24"/>
                <w:szCs w:val="24"/>
                <w:lang w:eastAsia="en-NZ"/>
              </w:rPr>
            </w:pPr>
            <w:r w:rsidRPr="00784438">
              <w:rPr>
                <w:spacing w:val="-4"/>
                <w:lang w:eastAsia="en-NZ"/>
              </w:rPr>
              <w:t>M</w:t>
            </w:r>
            <w:r w:rsidRPr="00784438">
              <w:rPr>
                <w:lang w:eastAsia="en-NZ"/>
              </w:rPr>
              <w:t>āo</w:t>
            </w:r>
            <w:r w:rsidRPr="00784438">
              <w:rPr>
                <w:spacing w:val="1"/>
                <w:lang w:eastAsia="en-NZ"/>
              </w:rPr>
              <w:t>r</w:t>
            </w:r>
            <w:r w:rsidRPr="00784438">
              <w:rPr>
                <w:lang w:eastAsia="en-NZ"/>
              </w:rPr>
              <w:t>i Land</w:t>
            </w:r>
            <w:r w:rsidRPr="00784438">
              <w:rPr>
                <w:spacing w:val="1"/>
                <w:lang w:eastAsia="en-NZ"/>
              </w:rPr>
              <w:t xml:space="preserve"> </w:t>
            </w:r>
            <w:r w:rsidRPr="00784438">
              <w:rPr>
                <w:spacing w:val="2"/>
                <w:lang w:eastAsia="en-NZ"/>
              </w:rPr>
              <w:t>T</w:t>
            </w:r>
            <w:r w:rsidRPr="00784438">
              <w:rPr>
                <w:spacing w:val="1"/>
                <w:lang w:eastAsia="en-NZ"/>
              </w:rPr>
              <w:t>r</w:t>
            </w:r>
            <w:r w:rsidRPr="00784438">
              <w:rPr>
                <w:spacing w:val="-3"/>
                <w:lang w:eastAsia="en-NZ"/>
              </w:rPr>
              <w:t>u</w:t>
            </w:r>
            <w:r w:rsidRPr="00784438">
              <w:rPr>
                <w:lang w:eastAsia="en-NZ"/>
              </w:rPr>
              <w:t>s</w:t>
            </w:r>
            <w:r w:rsidRPr="00784438">
              <w:rPr>
                <w:spacing w:val="1"/>
                <w:lang w:eastAsia="en-NZ"/>
              </w:rPr>
              <w:t>t</w:t>
            </w:r>
            <w:r w:rsidRPr="00784438">
              <w:rPr>
                <w:lang w:eastAsia="en-NZ"/>
              </w:rPr>
              <w:t>s</w:t>
            </w:r>
            <w:r w:rsidRPr="00784438">
              <w:rPr>
                <w:spacing w:val="-1"/>
                <w:lang w:eastAsia="en-NZ"/>
              </w:rPr>
              <w:t xml:space="preserve"> </w:t>
            </w:r>
            <w:r w:rsidRPr="00784438">
              <w:rPr>
                <w:lang w:eastAsia="en-NZ"/>
              </w:rPr>
              <w:t>e</w:t>
            </w:r>
            <w:r w:rsidRPr="00784438">
              <w:rPr>
                <w:spacing w:val="-2"/>
                <w:lang w:eastAsia="en-NZ"/>
              </w:rPr>
              <w:t>x</w:t>
            </w:r>
            <w:r w:rsidRPr="00784438">
              <w:rPr>
                <w:lang w:eastAsia="en-NZ"/>
              </w:rPr>
              <w:t>c</w:t>
            </w:r>
            <w:r w:rsidRPr="00784438">
              <w:rPr>
                <w:spacing w:val="-1"/>
                <w:lang w:eastAsia="en-NZ"/>
              </w:rPr>
              <w:t>l</w:t>
            </w:r>
            <w:r w:rsidRPr="00784438">
              <w:rPr>
                <w:lang w:eastAsia="en-NZ"/>
              </w:rPr>
              <w:t>uded</w:t>
            </w:r>
            <w:r w:rsidRPr="00784438">
              <w:rPr>
                <w:spacing w:val="-1"/>
                <w:lang w:eastAsia="en-NZ"/>
              </w:rPr>
              <w:t xml:space="preserve"> </w:t>
            </w:r>
            <w:r w:rsidRPr="00784438">
              <w:rPr>
                <w:spacing w:val="1"/>
                <w:lang w:eastAsia="en-NZ"/>
              </w:rPr>
              <w:t>fr</w:t>
            </w:r>
            <w:r w:rsidRPr="00784438">
              <w:rPr>
                <w:lang w:eastAsia="en-NZ"/>
              </w:rPr>
              <w:t xml:space="preserve">om </w:t>
            </w:r>
            <w:r w:rsidRPr="00784438">
              <w:rPr>
                <w:spacing w:val="-1"/>
                <w:lang w:eastAsia="en-NZ"/>
              </w:rPr>
              <w:t>l</w:t>
            </w:r>
            <w:r w:rsidRPr="00784438">
              <w:rPr>
                <w:lang w:eastAsia="en-NZ"/>
              </w:rPr>
              <w:t>oans.</w:t>
            </w:r>
          </w:p>
        </w:tc>
        <w:tc>
          <w:tcPr>
            <w:tcW w:w="4074" w:type="dxa"/>
          </w:tcPr>
          <w:p w:rsidR="001D1E59" w:rsidRPr="00784438" w:rsidRDefault="001D1E59" w:rsidP="004513A0">
            <w:pPr>
              <w:autoSpaceDE w:val="0"/>
              <w:autoSpaceDN w:val="0"/>
              <w:adjustRightInd w:val="0"/>
              <w:spacing w:line="250" w:lineRule="exact"/>
              <w:ind w:left="102" w:right="-20"/>
              <w:rPr>
                <w:sz w:val="24"/>
                <w:szCs w:val="24"/>
                <w:lang w:eastAsia="en-NZ"/>
              </w:rPr>
            </w:pPr>
            <w:r w:rsidRPr="00784438">
              <w:rPr>
                <w:spacing w:val="-4"/>
                <w:lang w:eastAsia="en-NZ"/>
              </w:rPr>
              <w:t>M</w:t>
            </w:r>
            <w:r w:rsidRPr="00784438">
              <w:rPr>
                <w:lang w:eastAsia="en-NZ"/>
              </w:rPr>
              <w:t>āo</w:t>
            </w:r>
            <w:r w:rsidRPr="00784438">
              <w:rPr>
                <w:spacing w:val="1"/>
                <w:lang w:eastAsia="en-NZ"/>
              </w:rPr>
              <w:t>r</w:t>
            </w:r>
            <w:r w:rsidRPr="00784438">
              <w:rPr>
                <w:lang w:eastAsia="en-NZ"/>
              </w:rPr>
              <w:t>i Land</w:t>
            </w:r>
            <w:r w:rsidRPr="00784438">
              <w:rPr>
                <w:spacing w:val="1"/>
                <w:lang w:eastAsia="en-NZ"/>
              </w:rPr>
              <w:t xml:space="preserve"> </w:t>
            </w:r>
            <w:r w:rsidRPr="00784438">
              <w:rPr>
                <w:spacing w:val="2"/>
                <w:lang w:eastAsia="en-NZ"/>
              </w:rPr>
              <w:t>T</w:t>
            </w:r>
            <w:r w:rsidRPr="00784438">
              <w:rPr>
                <w:spacing w:val="1"/>
                <w:lang w:eastAsia="en-NZ"/>
              </w:rPr>
              <w:t>r</w:t>
            </w:r>
            <w:r w:rsidRPr="00784438">
              <w:rPr>
                <w:spacing w:val="-3"/>
                <w:lang w:eastAsia="en-NZ"/>
              </w:rPr>
              <w:t>u</w:t>
            </w:r>
            <w:r w:rsidRPr="00784438">
              <w:rPr>
                <w:lang w:eastAsia="en-NZ"/>
              </w:rPr>
              <w:t>s</w:t>
            </w:r>
            <w:r w:rsidRPr="00784438">
              <w:rPr>
                <w:spacing w:val="1"/>
                <w:lang w:eastAsia="en-NZ"/>
              </w:rPr>
              <w:t>t</w:t>
            </w:r>
            <w:r w:rsidRPr="00784438">
              <w:rPr>
                <w:lang w:eastAsia="en-NZ"/>
              </w:rPr>
              <w:t>s</w:t>
            </w:r>
            <w:r w:rsidRPr="00784438">
              <w:rPr>
                <w:spacing w:val="-1"/>
                <w:lang w:eastAsia="en-NZ"/>
              </w:rPr>
              <w:t xml:space="preserve"> </w:t>
            </w:r>
            <w:r w:rsidRPr="00784438">
              <w:rPr>
                <w:lang w:eastAsia="en-NZ"/>
              </w:rPr>
              <w:t>e</w:t>
            </w:r>
            <w:r w:rsidRPr="00784438">
              <w:rPr>
                <w:spacing w:val="-1"/>
                <w:lang w:eastAsia="en-NZ"/>
              </w:rPr>
              <w:t>li</w:t>
            </w:r>
            <w:r w:rsidRPr="00784438">
              <w:rPr>
                <w:spacing w:val="2"/>
                <w:lang w:eastAsia="en-NZ"/>
              </w:rPr>
              <w:t>g</w:t>
            </w:r>
            <w:r w:rsidRPr="00784438">
              <w:rPr>
                <w:spacing w:val="-1"/>
                <w:lang w:eastAsia="en-NZ"/>
              </w:rPr>
              <w:t>i</w:t>
            </w:r>
            <w:r w:rsidRPr="00784438">
              <w:rPr>
                <w:lang w:eastAsia="en-NZ"/>
              </w:rPr>
              <w:t>b</w:t>
            </w:r>
            <w:r w:rsidRPr="00784438">
              <w:rPr>
                <w:spacing w:val="-1"/>
                <w:lang w:eastAsia="en-NZ"/>
              </w:rPr>
              <w:t>l</w:t>
            </w:r>
            <w:r w:rsidRPr="00784438">
              <w:rPr>
                <w:lang w:eastAsia="en-NZ"/>
              </w:rPr>
              <w:t>e</w:t>
            </w:r>
            <w:r w:rsidRPr="00784438">
              <w:rPr>
                <w:spacing w:val="-1"/>
                <w:lang w:eastAsia="en-NZ"/>
              </w:rPr>
              <w:t xml:space="preserve"> </w:t>
            </w:r>
            <w:r w:rsidRPr="00784438">
              <w:rPr>
                <w:spacing w:val="3"/>
                <w:lang w:eastAsia="en-NZ"/>
              </w:rPr>
              <w:t>f</w:t>
            </w:r>
            <w:r w:rsidRPr="00784438">
              <w:rPr>
                <w:spacing w:val="-3"/>
                <w:lang w:eastAsia="en-NZ"/>
              </w:rPr>
              <w:t>o</w:t>
            </w:r>
            <w:r w:rsidRPr="00784438">
              <w:rPr>
                <w:lang w:eastAsia="en-NZ"/>
              </w:rPr>
              <w:t>r</w:t>
            </w:r>
            <w:r w:rsidRPr="00784438">
              <w:rPr>
                <w:spacing w:val="2"/>
                <w:lang w:eastAsia="en-NZ"/>
              </w:rPr>
              <w:t xml:space="preserve"> </w:t>
            </w:r>
            <w:r w:rsidRPr="00784438">
              <w:rPr>
                <w:spacing w:val="-1"/>
                <w:lang w:eastAsia="en-NZ"/>
              </w:rPr>
              <w:t>l</w:t>
            </w:r>
            <w:r w:rsidRPr="00784438">
              <w:rPr>
                <w:lang w:eastAsia="en-NZ"/>
              </w:rPr>
              <w:t>oans.</w:t>
            </w:r>
          </w:p>
        </w:tc>
      </w:tr>
    </w:tbl>
    <w:p w:rsidR="001D1E59" w:rsidRPr="00784438" w:rsidRDefault="001D1E59" w:rsidP="00784438">
      <w:pPr>
        <w:pStyle w:val="PlainText"/>
        <w:spacing w:line="276" w:lineRule="auto"/>
        <w:ind w:left="720"/>
        <w:rPr>
          <w:rFonts w:ascii="Arial" w:hAnsi="Arial" w:cs="Arial"/>
          <w:i/>
          <w:sz w:val="22"/>
          <w:szCs w:val="22"/>
          <w:lang w:val="en-GB"/>
        </w:rPr>
      </w:pPr>
    </w:p>
    <w:p w:rsidR="001D1E59" w:rsidRPr="00784438" w:rsidRDefault="001D1E59" w:rsidP="00784438">
      <w:pPr>
        <w:pStyle w:val="PlainText"/>
        <w:spacing w:line="276" w:lineRule="auto"/>
        <w:ind w:left="720"/>
        <w:rPr>
          <w:rFonts w:ascii="Arial" w:hAnsi="Arial" w:cs="Arial"/>
          <w:i/>
          <w:sz w:val="22"/>
          <w:szCs w:val="22"/>
          <w:lang w:val="en-GB"/>
        </w:rPr>
      </w:pPr>
      <w:r w:rsidRPr="00784438">
        <w:rPr>
          <w:rFonts w:ascii="Arial" w:hAnsi="Arial" w:cs="Arial"/>
          <w:i/>
          <w:sz w:val="22"/>
          <w:szCs w:val="22"/>
          <w:lang w:val="en-GB"/>
        </w:rPr>
        <w:t>Bay of Plenty Regional Council Infrastructure Fund</w:t>
      </w:r>
    </w:p>
    <w:p w:rsidR="001D1E59" w:rsidRPr="00784438" w:rsidRDefault="001D1E59" w:rsidP="00784438">
      <w:pPr>
        <w:pStyle w:val="PlainText"/>
        <w:spacing w:line="276" w:lineRule="auto"/>
        <w:ind w:left="720"/>
        <w:jc w:val="both"/>
        <w:rPr>
          <w:rFonts w:ascii="Arial" w:hAnsi="Arial" w:cs="Arial"/>
          <w:sz w:val="22"/>
          <w:szCs w:val="22"/>
          <w:lang w:val="en-GB"/>
        </w:rPr>
      </w:pPr>
      <w:r w:rsidRPr="00784438">
        <w:rPr>
          <w:rFonts w:ascii="Arial" w:hAnsi="Arial" w:cs="Arial"/>
          <w:sz w:val="22"/>
          <w:szCs w:val="22"/>
          <w:lang w:val="en-GB"/>
        </w:rPr>
        <w:t>The Bay of Plenty Regional Council has recently announced a Regional Infrastructure fund.  This fund is designed to provide additional capital funding to assist with the development of major infrastructure projects in the Bay of Plenty region. It aims to help to accelerate infrastructure projects, improve the outcomes and quality of projects, or increase the scope of projects. Council has set aside up to $38 million for external infrastructure projects, over the nine years between 1 July 2013 and 30 June 2022.</w:t>
      </w:r>
      <w:r w:rsidRPr="00784438">
        <w:rPr>
          <w:rStyle w:val="FootnoteReference"/>
          <w:rFonts w:ascii="Arial" w:hAnsi="Arial" w:cs="Arial"/>
          <w:sz w:val="22"/>
          <w:szCs w:val="22"/>
          <w:lang w:val="en-GB"/>
        </w:rPr>
        <w:footnoteReference w:id="6"/>
      </w:r>
      <w:r w:rsidRPr="00784438">
        <w:rPr>
          <w:rFonts w:ascii="Arial" w:hAnsi="Arial" w:cs="Arial"/>
          <w:sz w:val="22"/>
          <w:szCs w:val="22"/>
          <w:lang w:val="en-GB"/>
        </w:rPr>
        <w:t xml:space="preserve"> This funding is a component of some $200 million that has been earmarked for infrastructure.  This is a potential source of funds for infrastructure that supports affordable housing.  The fund is competitive and a successful application is likely to involve significant financial commitments from SmartGrowth and other partners likely as part of a </w:t>
      </w:r>
      <w:r w:rsidRPr="00784438">
        <w:rPr>
          <w:rFonts w:ascii="Arial" w:hAnsi="Arial" w:cs="Arial"/>
          <w:i/>
          <w:sz w:val="22"/>
          <w:szCs w:val="22"/>
          <w:lang w:val="en-GB"/>
        </w:rPr>
        <w:t>new project</w:t>
      </w:r>
      <w:r w:rsidRPr="00784438">
        <w:rPr>
          <w:rFonts w:ascii="Arial" w:hAnsi="Arial" w:cs="Arial"/>
          <w:sz w:val="22"/>
          <w:szCs w:val="22"/>
          <w:lang w:val="en-GB"/>
        </w:rPr>
        <w:t xml:space="preserve"> rather than business as usual infrastructure.</w:t>
      </w:r>
      <w:r w:rsidRPr="00784438">
        <w:rPr>
          <w:rStyle w:val="FootnoteReference"/>
          <w:rFonts w:ascii="Calibri" w:hAnsi="Calibri" w:cs="Calibri"/>
          <w:lang w:eastAsia="en-NZ"/>
        </w:rPr>
        <w:footnoteReference w:id="7"/>
      </w:r>
    </w:p>
    <w:p w:rsidR="001D1E59" w:rsidRPr="00784438" w:rsidRDefault="001D1E59" w:rsidP="00784438">
      <w:pPr>
        <w:pStyle w:val="PlainText"/>
        <w:spacing w:line="276" w:lineRule="auto"/>
        <w:ind w:left="720"/>
        <w:jc w:val="both"/>
        <w:rPr>
          <w:rFonts w:ascii="Arial" w:hAnsi="Arial" w:cs="Arial"/>
          <w:sz w:val="22"/>
          <w:szCs w:val="22"/>
          <w:lang w:val="en-GB"/>
        </w:rPr>
      </w:pPr>
    </w:p>
    <w:p w:rsidR="001D1E59" w:rsidRPr="00784438" w:rsidRDefault="001D1E59" w:rsidP="00784438">
      <w:pPr>
        <w:pStyle w:val="FootnoteText"/>
        <w:ind w:left="720"/>
      </w:pPr>
      <w:r w:rsidRPr="00784438">
        <w:t>Kainga Home Loans, Fact Sheet, 16 October 2012</w:t>
      </w:r>
    </w:p>
    <w:p w:rsidR="001D1E59" w:rsidRPr="00784438" w:rsidRDefault="001D1E59" w:rsidP="00784438">
      <w:pPr>
        <w:pStyle w:val="FootnoteText"/>
        <w:ind w:left="720"/>
      </w:pPr>
      <w:r w:rsidRPr="00784438">
        <w:rPr>
          <w:rStyle w:val="FootnoteReference"/>
        </w:rPr>
        <w:footnoteRef/>
      </w:r>
      <w:r w:rsidRPr="00784438">
        <w:t xml:space="preserve"> </w:t>
      </w:r>
      <w:hyperlink r:id="rId21" w:history="1">
        <w:r w:rsidRPr="00784438">
          <w:rPr>
            <w:rStyle w:val="Hyperlink"/>
          </w:rPr>
          <w:t>www.boprc.govt.nz</w:t>
        </w:r>
      </w:hyperlink>
      <w:r w:rsidRPr="00784438">
        <w:t xml:space="preserve"> – announced 20 August 2012</w:t>
      </w:r>
    </w:p>
    <w:p w:rsidR="001D1E59" w:rsidRDefault="001D1E59" w:rsidP="00784438">
      <w:pPr>
        <w:pStyle w:val="BodyText"/>
        <w:ind w:left="1440"/>
      </w:pPr>
      <w:r w:rsidRPr="00784438">
        <w:rPr>
          <w:rStyle w:val="FootnoteReference"/>
        </w:rPr>
        <w:footnoteRef/>
      </w:r>
      <w:r w:rsidRPr="00784438">
        <w:t xml:space="preserve"> Bay of Plenty Regional Council.  Regional Infrastructure Fund - Frequently Asked Questions. 14 September 2012</w:t>
      </w:r>
    </w:p>
    <w:p w:rsidR="001D1E59" w:rsidRDefault="001D1E59" w:rsidP="00714BE1">
      <w:pPr>
        <w:rPr>
          <w:lang w:val="en-GB"/>
        </w:rPr>
      </w:pPr>
    </w:p>
    <w:p w:rsidR="001D1E59" w:rsidRPr="002F6799" w:rsidRDefault="001D1E59">
      <w:pPr>
        <w:rPr>
          <w:lang w:val="en-GB"/>
        </w:rPr>
      </w:pPr>
      <w:r w:rsidRPr="002F6799">
        <w:rPr>
          <w:lang w:val="en-GB"/>
        </w:rPr>
        <w:br w:type="page"/>
      </w:r>
    </w:p>
    <w:sectPr w:rsidR="001D1E59" w:rsidRPr="002F6799" w:rsidSect="00BC46AA">
      <w:footerReference w:type="first" r:id="rId22"/>
      <w:pgSz w:w="11906" w:h="16838" w:code="9"/>
      <w:pgMar w:top="1152" w:right="1440" w:bottom="720" w:left="1440" w:header="720" w:footer="432"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AC4" w:rsidRDefault="00E35AC4" w:rsidP="006037AE">
      <w:r>
        <w:separator/>
      </w:r>
    </w:p>
  </w:endnote>
  <w:endnote w:type="continuationSeparator" w:id="0">
    <w:p w:rsidR="00E35AC4" w:rsidRDefault="00E35AC4" w:rsidP="00603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EE"/>
    <w:family w:val="auto"/>
    <w:notTrueType/>
    <w:pitch w:val="default"/>
    <w:sig w:usb0="00000001" w:usb1="00000000" w:usb2="00000000" w:usb3="00000000" w:csb0="00000003" w:csb1="00000000"/>
  </w:font>
  <w:font w:name="Times-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AC4" w:rsidRDefault="00E35AC4" w:rsidP="00E94D5E">
    <w:pPr>
      <w:pStyle w:val="Footer"/>
      <w:jc w:val="center"/>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255FB3">
      <w:rPr>
        <w:rStyle w:val="PageNumber"/>
        <w:rFonts w:cs="Arial"/>
        <w:noProof/>
      </w:rPr>
      <w:t>2</w:t>
    </w:r>
    <w:r>
      <w:rPr>
        <w:rStyle w:val="PageNumber"/>
        <w:rFonts w:cs="Arial"/>
      </w:rPr>
      <w:fldChar w:fldCharType="end"/>
    </w:r>
    <w:r>
      <w:rPr>
        <w:rStyle w:val="PageNumber"/>
        <w:rFonts w:cs="Arial"/>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AC4" w:rsidRDefault="00E35AC4" w:rsidP="00BC46AA">
    <w:pPr>
      <w:pStyle w:val="Footer"/>
      <w:jc w:val="center"/>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255FB3">
      <w:rPr>
        <w:rStyle w:val="PageNumber"/>
        <w:rFonts w:cs="Arial"/>
        <w:noProof/>
      </w:rPr>
      <w:t>1</w:t>
    </w:r>
    <w:r>
      <w:rPr>
        <w:rStyle w:val="PageNumbe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AC4" w:rsidRDefault="00E35AC4" w:rsidP="006037AE">
      <w:r>
        <w:separator/>
      </w:r>
    </w:p>
  </w:footnote>
  <w:footnote w:type="continuationSeparator" w:id="0">
    <w:p w:rsidR="00E35AC4" w:rsidRDefault="00E35AC4" w:rsidP="006037AE">
      <w:r>
        <w:continuationSeparator/>
      </w:r>
    </w:p>
  </w:footnote>
  <w:footnote w:id="1">
    <w:p w:rsidR="00E35AC4" w:rsidRDefault="00E35AC4">
      <w:pPr>
        <w:pStyle w:val="FootnoteText"/>
      </w:pPr>
      <w:r>
        <w:rPr>
          <w:rStyle w:val="FootnoteReference"/>
        </w:rPr>
        <w:footnoteRef/>
      </w:r>
      <w:r>
        <w:t xml:space="preserve"> Martin Udale, Property Developer and consultant and Neil Gray, consultant Advisor.</w:t>
      </w:r>
    </w:p>
  </w:footnote>
  <w:footnote w:id="2">
    <w:p w:rsidR="00E35AC4" w:rsidRDefault="00E35AC4" w:rsidP="00AF4568">
      <w:pPr>
        <w:pStyle w:val="FootnoteText"/>
      </w:pPr>
      <w:r>
        <w:rPr>
          <w:rStyle w:val="FootnoteReference"/>
          <w:rFonts w:cs="Arial"/>
        </w:rPr>
        <w:footnoteRef/>
      </w:r>
      <w:r>
        <w:t xml:space="preserve"> Martin Udale, Essentia Consulting Group with Christine Jones, Andrew Mead &amp; Frazer Smith, Tauranga City Council.  Assessment of Development Feasibility for the Wairakei Urban Growth Area.  P4</w:t>
      </w:r>
    </w:p>
  </w:footnote>
  <w:footnote w:id="3">
    <w:p w:rsidR="00E35AC4" w:rsidRDefault="00E35AC4" w:rsidP="00AF4568">
      <w:pPr>
        <w:pStyle w:val="FootnoteText"/>
      </w:pPr>
      <w:r>
        <w:rPr>
          <w:rStyle w:val="FootnoteReference"/>
          <w:rFonts w:cs="Arial"/>
        </w:rPr>
        <w:footnoteRef/>
      </w:r>
      <w:r>
        <w:t xml:space="preserve"> ibid. p28</w:t>
      </w:r>
    </w:p>
  </w:footnote>
  <w:footnote w:id="4">
    <w:p w:rsidR="00E35AC4" w:rsidRDefault="00E35AC4" w:rsidP="00825E4B">
      <w:pPr>
        <w:pStyle w:val="FootnoteText"/>
      </w:pPr>
      <w:r>
        <w:rPr>
          <w:rStyle w:val="FootnoteReference"/>
        </w:rPr>
        <w:footnoteRef/>
      </w:r>
      <w:r>
        <w:t xml:space="preserve"> </w:t>
      </w:r>
      <w:r>
        <w:rPr>
          <w:rFonts w:ascii="Times-Italic" w:hAnsi="Times-Italic" w:cs="Times-Italic"/>
          <w:i/>
          <w:iCs/>
          <w:color w:val="0000FF"/>
          <w:lang w:eastAsia="en-NZ"/>
        </w:rPr>
        <w:t>www.hobsonvillepoint.co.nz</w:t>
      </w:r>
    </w:p>
  </w:footnote>
  <w:footnote w:id="5">
    <w:p w:rsidR="00E35AC4" w:rsidRDefault="00E35AC4" w:rsidP="00784438">
      <w:pPr>
        <w:pStyle w:val="FootnoteText"/>
      </w:pPr>
      <w:r>
        <w:rPr>
          <w:rStyle w:val="FootnoteReference"/>
          <w:rFonts w:cs="Arial"/>
        </w:rPr>
        <w:footnoteRef/>
      </w:r>
      <w:r>
        <w:t xml:space="preserve"> Kainga Home Loans, Fact Sheet, 16 October 2012</w:t>
      </w:r>
    </w:p>
  </w:footnote>
  <w:footnote w:id="6">
    <w:p w:rsidR="00E35AC4" w:rsidRDefault="00E35AC4" w:rsidP="00784438">
      <w:pPr>
        <w:pStyle w:val="FootnoteText"/>
      </w:pPr>
      <w:r>
        <w:rPr>
          <w:rStyle w:val="FootnoteReference"/>
        </w:rPr>
        <w:footnoteRef/>
      </w:r>
      <w:r>
        <w:t xml:space="preserve"> </w:t>
      </w:r>
      <w:hyperlink r:id="rId1" w:history="1">
        <w:r w:rsidRPr="004D14BA">
          <w:rPr>
            <w:rStyle w:val="Hyperlink"/>
          </w:rPr>
          <w:t>www.boprc.govt.nz</w:t>
        </w:r>
      </w:hyperlink>
      <w:r>
        <w:t xml:space="preserve"> – announced 20 August 2012</w:t>
      </w:r>
    </w:p>
  </w:footnote>
  <w:footnote w:id="7">
    <w:p w:rsidR="00E35AC4" w:rsidRDefault="00E35AC4" w:rsidP="00784438">
      <w:pPr>
        <w:pStyle w:val="FootnoteText"/>
      </w:pPr>
      <w:r>
        <w:rPr>
          <w:rStyle w:val="FootnoteReference"/>
        </w:rPr>
        <w:footnoteRef/>
      </w:r>
      <w:r>
        <w:t xml:space="preserve"> Bay of Plenty Regional Council.  Regional Infrastructure Fund - Frequently Asked Questions. 14 September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AC4" w:rsidRDefault="00E35AC4" w:rsidP="006037AE">
    <w:pPr>
      <w:pStyle w:val="Header"/>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E35AC4" w:rsidRDefault="00E35AC4" w:rsidP="006037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4B7099A2"/>
    <w:lvl w:ilvl="0">
      <w:start w:val="1"/>
      <w:numFmt w:val="decimal"/>
      <w:lvlText w:val="%1."/>
      <w:lvlJc w:val="left"/>
      <w:pPr>
        <w:tabs>
          <w:tab w:val="num" w:pos="4320"/>
        </w:tabs>
        <w:ind w:left="4320"/>
      </w:pPr>
      <w:rPr>
        <w:rFonts w:ascii="Arial" w:hAnsi="Arial" w:cs="Times New Roman" w:hint="default"/>
        <w:b w:val="0"/>
        <w:i w:val="0"/>
        <w:sz w:val="22"/>
      </w:rPr>
    </w:lvl>
    <w:lvl w:ilvl="1">
      <w:start w:val="1"/>
      <w:numFmt w:val="decimal"/>
      <w:lvlText w:val="%1.%2"/>
      <w:lvlJc w:val="left"/>
      <w:pPr>
        <w:tabs>
          <w:tab w:val="num" w:pos="4320"/>
        </w:tabs>
        <w:ind w:left="4320"/>
      </w:pPr>
      <w:rPr>
        <w:rFonts w:ascii="Arial" w:hAnsi="Arial" w:cs="Times New Roman" w:hint="default"/>
        <w:b w:val="0"/>
        <w:i w:val="0"/>
        <w:sz w:val="22"/>
      </w:rPr>
    </w:lvl>
    <w:lvl w:ilvl="2">
      <w:start w:val="1"/>
      <w:numFmt w:val="decimal"/>
      <w:lvlText w:val="%1.%2.%3"/>
      <w:lvlJc w:val="left"/>
      <w:pPr>
        <w:tabs>
          <w:tab w:val="num" w:pos="4320"/>
        </w:tabs>
        <w:ind w:left="4320"/>
      </w:pPr>
      <w:rPr>
        <w:rFonts w:ascii="Arial" w:hAnsi="Arial" w:cs="Times New Roman" w:hint="default"/>
        <w:b w:val="0"/>
        <w:i w:val="0"/>
        <w:sz w:val="22"/>
      </w:rPr>
    </w:lvl>
    <w:lvl w:ilvl="3">
      <w:start w:val="1"/>
      <w:numFmt w:val="decimal"/>
      <w:pStyle w:val="Heading4"/>
      <w:lvlText w:val="%1.%2.%3.%4"/>
      <w:lvlJc w:val="left"/>
      <w:pPr>
        <w:tabs>
          <w:tab w:val="num" w:pos="4320"/>
        </w:tabs>
        <w:ind w:left="4320"/>
      </w:pPr>
      <w:rPr>
        <w:rFonts w:ascii="Arial" w:hAnsi="Arial" w:cs="Times New Roman" w:hint="default"/>
        <w:b w:val="0"/>
        <w:i w:val="0"/>
        <w:sz w:val="22"/>
      </w:rPr>
    </w:lvl>
    <w:lvl w:ilvl="4">
      <w:start w:val="1"/>
      <w:numFmt w:val="decimal"/>
      <w:pStyle w:val="Heading5"/>
      <w:lvlText w:val="%1.%2.%3.%4.%5"/>
      <w:lvlJc w:val="left"/>
      <w:pPr>
        <w:tabs>
          <w:tab w:val="num" w:pos="4320"/>
        </w:tabs>
        <w:ind w:left="4320"/>
      </w:pPr>
      <w:rPr>
        <w:rFonts w:ascii="Arial" w:hAnsi="Arial" w:cs="Times New Roman" w:hint="default"/>
        <w:b w:val="0"/>
        <w:i w:val="0"/>
        <w:sz w:val="22"/>
      </w:rPr>
    </w:lvl>
    <w:lvl w:ilvl="5">
      <w:start w:val="1"/>
      <w:numFmt w:val="decimal"/>
      <w:pStyle w:val="Heading6"/>
      <w:lvlText w:val="%1.%2.%3.%4.%5.%6"/>
      <w:lvlJc w:val="left"/>
      <w:pPr>
        <w:tabs>
          <w:tab w:val="num" w:pos="4320"/>
        </w:tabs>
        <w:ind w:left="4320"/>
      </w:pPr>
      <w:rPr>
        <w:rFonts w:ascii="Arial" w:hAnsi="Arial" w:cs="Times New Roman" w:hint="default"/>
        <w:b w:val="0"/>
        <w:i w:val="0"/>
        <w:sz w:val="22"/>
      </w:rPr>
    </w:lvl>
    <w:lvl w:ilvl="6">
      <w:start w:val="1"/>
      <w:numFmt w:val="decimal"/>
      <w:pStyle w:val="Heading7"/>
      <w:lvlText w:val="%1.%2.%3.%4.%5.%6.%7"/>
      <w:lvlJc w:val="left"/>
      <w:pPr>
        <w:tabs>
          <w:tab w:val="num" w:pos="4320"/>
        </w:tabs>
        <w:ind w:left="4320"/>
      </w:pPr>
      <w:rPr>
        <w:rFonts w:ascii="Arial" w:hAnsi="Arial" w:cs="Times New Roman" w:hint="default"/>
        <w:b w:val="0"/>
        <w:i w:val="0"/>
        <w:sz w:val="22"/>
      </w:rPr>
    </w:lvl>
    <w:lvl w:ilvl="7">
      <w:start w:val="1"/>
      <w:numFmt w:val="decimal"/>
      <w:pStyle w:val="Heading8"/>
      <w:lvlText w:val="%1.%2.%3.%4.%5.%6.%7.%8"/>
      <w:lvlJc w:val="left"/>
      <w:pPr>
        <w:tabs>
          <w:tab w:val="num" w:pos="4320"/>
        </w:tabs>
        <w:ind w:left="4320"/>
      </w:pPr>
      <w:rPr>
        <w:rFonts w:ascii="Arial" w:hAnsi="Arial" w:cs="Times New Roman" w:hint="default"/>
        <w:b w:val="0"/>
        <w:i w:val="0"/>
        <w:sz w:val="22"/>
      </w:rPr>
    </w:lvl>
    <w:lvl w:ilvl="8">
      <w:start w:val="1"/>
      <w:numFmt w:val="decimal"/>
      <w:pStyle w:val="Heading9"/>
      <w:lvlText w:val="%1.%2.%3.%4.%5.%6.%7.%8.%9"/>
      <w:lvlJc w:val="left"/>
      <w:pPr>
        <w:tabs>
          <w:tab w:val="num" w:pos="4320"/>
        </w:tabs>
        <w:ind w:left="4320"/>
      </w:pPr>
      <w:rPr>
        <w:rFonts w:ascii="Arial" w:hAnsi="Arial" w:cs="Times New Roman" w:hint="default"/>
        <w:b w:val="0"/>
        <w:i w:val="0"/>
        <w:sz w:val="22"/>
      </w:rPr>
    </w:lvl>
  </w:abstractNum>
  <w:abstractNum w:abstractNumId="1">
    <w:nsid w:val="099A7FF5"/>
    <w:multiLevelType w:val="hybridMultilevel"/>
    <w:tmpl w:val="37CAC2A2"/>
    <w:lvl w:ilvl="0" w:tplc="0C090005">
      <w:start w:val="1"/>
      <w:numFmt w:val="bullet"/>
      <w:lvlText w:val=""/>
      <w:lvlJc w:val="left"/>
      <w:pPr>
        <w:tabs>
          <w:tab w:val="num" w:pos="1440"/>
        </w:tabs>
        <w:ind w:left="1440" w:hanging="360"/>
      </w:pPr>
      <w:rPr>
        <w:rFonts w:ascii="Wingdings" w:hAnsi="Wingdings" w:hint="default"/>
      </w:rPr>
    </w:lvl>
    <w:lvl w:ilvl="1" w:tplc="0C090003" w:tentative="1">
      <w:start w:val="1"/>
      <w:numFmt w:val="bullet"/>
      <w:lvlText w:val="o"/>
      <w:lvlJc w:val="left"/>
      <w:pPr>
        <w:tabs>
          <w:tab w:val="num" w:pos="2160"/>
        </w:tabs>
        <w:ind w:left="2160" w:hanging="360"/>
      </w:pPr>
      <w:rPr>
        <w:rFonts w:ascii="Courier New" w:hAnsi="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
    <w:nsid w:val="0F9E4824"/>
    <w:multiLevelType w:val="hybridMultilevel"/>
    <w:tmpl w:val="CE0E9B08"/>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4010C41"/>
    <w:multiLevelType w:val="hybridMultilevel"/>
    <w:tmpl w:val="A83C73E4"/>
    <w:lvl w:ilvl="0" w:tplc="0C090005">
      <w:start w:val="1"/>
      <w:numFmt w:val="bullet"/>
      <w:lvlText w:val=""/>
      <w:lvlJc w:val="left"/>
      <w:pPr>
        <w:tabs>
          <w:tab w:val="num" w:pos="1440"/>
        </w:tabs>
        <w:ind w:left="1440" w:hanging="360"/>
      </w:pPr>
      <w:rPr>
        <w:rFonts w:ascii="Wingdings" w:hAnsi="Wingdings" w:hint="default"/>
      </w:rPr>
    </w:lvl>
    <w:lvl w:ilvl="1" w:tplc="0C090003" w:tentative="1">
      <w:start w:val="1"/>
      <w:numFmt w:val="bullet"/>
      <w:lvlText w:val="o"/>
      <w:lvlJc w:val="left"/>
      <w:pPr>
        <w:tabs>
          <w:tab w:val="num" w:pos="2160"/>
        </w:tabs>
        <w:ind w:left="2160" w:hanging="360"/>
      </w:pPr>
      <w:rPr>
        <w:rFonts w:ascii="Courier New" w:hAnsi="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4">
    <w:nsid w:val="1AB669D6"/>
    <w:multiLevelType w:val="hybridMultilevel"/>
    <w:tmpl w:val="235CD62E"/>
    <w:lvl w:ilvl="0" w:tplc="0C090005">
      <w:start w:val="1"/>
      <w:numFmt w:val="bullet"/>
      <w:lvlText w:val=""/>
      <w:lvlJc w:val="left"/>
      <w:pPr>
        <w:tabs>
          <w:tab w:val="num" w:pos="1080"/>
        </w:tabs>
        <w:ind w:left="1080" w:hanging="360"/>
      </w:pPr>
      <w:rPr>
        <w:rFonts w:ascii="Wingdings" w:hAnsi="Wingdings"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5">
    <w:nsid w:val="1B053419"/>
    <w:multiLevelType w:val="hybridMultilevel"/>
    <w:tmpl w:val="A6BCF25C"/>
    <w:lvl w:ilvl="0" w:tplc="3D82F8A2">
      <w:start w:val="1"/>
      <w:numFmt w:val="bullet"/>
      <w:pStyle w:val="Heading3"/>
      <w:lvlText w:val="·"/>
      <w:lvlJc w:val="left"/>
      <w:pPr>
        <w:tabs>
          <w:tab w:val="num" w:pos="288"/>
        </w:tabs>
        <w:ind w:left="288" w:hanging="288"/>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CBD24B5"/>
    <w:multiLevelType w:val="hybridMultilevel"/>
    <w:tmpl w:val="EC7CE04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7">
    <w:nsid w:val="20213839"/>
    <w:multiLevelType w:val="hybridMultilevel"/>
    <w:tmpl w:val="6E2AB908"/>
    <w:lvl w:ilvl="0" w:tplc="14090001">
      <w:start w:val="1"/>
      <w:numFmt w:val="bullet"/>
      <w:lvlText w:val=""/>
      <w:lvlJc w:val="left"/>
      <w:pPr>
        <w:ind w:left="1080" w:hanging="360"/>
      </w:pPr>
      <w:rPr>
        <w:rFonts w:ascii="Symbol" w:hAnsi="Symbol" w:hint="default"/>
      </w:rPr>
    </w:lvl>
    <w:lvl w:ilvl="1" w:tplc="0C090005">
      <w:start w:val="1"/>
      <w:numFmt w:val="bullet"/>
      <w:lvlText w:val=""/>
      <w:lvlJc w:val="left"/>
      <w:pPr>
        <w:tabs>
          <w:tab w:val="num" w:pos="1800"/>
        </w:tabs>
        <w:ind w:left="1800" w:hanging="360"/>
      </w:pPr>
      <w:rPr>
        <w:rFonts w:ascii="Wingdings" w:hAnsi="Wingdings"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8">
    <w:nsid w:val="25765BDE"/>
    <w:multiLevelType w:val="hybridMultilevel"/>
    <w:tmpl w:val="33885A52"/>
    <w:lvl w:ilvl="0" w:tplc="1409000F">
      <w:start w:val="1"/>
      <w:numFmt w:val="decimal"/>
      <w:lvlText w:val="%1."/>
      <w:lvlJc w:val="left"/>
      <w:pPr>
        <w:ind w:left="1494" w:hanging="360"/>
      </w:pPr>
    </w:lvl>
    <w:lvl w:ilvl="1" w:tplc="14090019" w:tentative="1">
      <w:start w:val="1"/>
      <w:numFmt w:val="lowerLetter"/>
      <w:lvlText w:val="%2."/>
      <w:lvlJc w:val="left"/>
      <w:pPr>
        <w:ind w:left="2214" w:hanging="360"/>
      </w:pPr>
    </w:lvl>
    <w:lvl w:ilvl="2" w:tplc="1409001B" w:tentative="1">
      <w:start w:val="1"/>
      <w:numFmt w:val="lowerRoman"/>
      <w:lvlText w:val="%3."/>
      <w:lvlJc w:val="right"/>
      <w:pPr>
        <w:ind w:left="2934" w:hanging="180"/>
      </w:pPr>
    </w:lvl>
    <w:lvl w:ilvl="3" w:tplc="1409000F" w:tentative="1">
      <w:start w:val="1"/>
      <w:numFmt w:val="decimal"/>
      <w:lvlText w:val="%4."/>
      <w:lvlJc w:val="left"/>
      <w:pPr>
        <w:ind w:left="3654" w:hanging="360"/>
      </w:pPr>
    </w:lvl>
    <w:lvl w:ilvl="4" w:tplc="14090019" w:tentative="1">
      <w:start w:val="1"/>
      <w:numFmt w:val="lowerLetter"/>
      <w:lvlText w:val="%5."/>
      <w:lvlJc w:val="left"/>
      <w:pPr>
        <w:ind w:left="4374" w:hanging="360"/>
      </w:pPr>
    </w:lvl>
    <w:lvl w:ilvl="5" w:tplc="1409001B" w:tentative="1">
      <w:start w:val="1"/>
      <w:numFmt w:val="lowerRoman"/>
      <w:lvlText w:val="%6."/>
      <w:lvlJc w:val="right"/>
      <w:pPr>
        <w:ind w:left="5094" w:hanging="180"/>
      </w:pPr>
    </w:lvl>
    <w:lvl w:ilvl="6" w:tplc="1409000F" w:tentative="1">
      <w:start w:val="1"/>
      <w:numFmt w:val="decimal"/>
      <w:lvlText w:val="%7."/>
      <w:lvlJc w:val="left"/>
      <w:pPr>
        <w:ind w:left="5814" w:hanging="360"/>
      </w:pPr>
    </w:lvl>
    <w:lvl w:ilvl="7" w:tplc="14090019" w:tentative="1">
      <w:start w:val="1"/>
      <w:numFmt w:val="lowerLetter"/>
      <w:lvlText w:val="%8."/>
      <w:lvlJc w:val="left"/>
      <w:pPr>
        <w:ind w:left="6534" w:hanging="360"/>
      </w:pPr>
    </w:lvl>
    <w:lvl w:ilvl="8" w:tplc="1409001B" w:tentative="1">
      <w:start w:val="1"/>
      <w:numFmt w:val="lowerRoman"/>
      <w:lvlText w:val="%9."/>
      <w:lvlJc w:val="right"/>
      <w:pPr>
        <w:ind w:left="7254" w:hanging="180"/>
      </w:pPr>
    </w:lvl>
  </w:abstractNum>
  <w:abstractNum w:abstractNumId="9">
    <w:nsid w:val="2640138E"/>
    <w:multiLevelType w:val="hybridMultilevel"/>
    <w:tmpl w:val="B84E3918"/>
    <w:lvl w:ilvl="0" w:tplc="0C090005">
      <w:start w:val="1"/>
      <w:numFmt w:val="bullet"/>
      <w:lvlText w:val=""/>
      <w:lvlJc w:val="left"/>
      <w:pPr>
        <w:tabs>
          <w:tab w:val="num" w:pos="1440"/>
        </w:tabs>
        <w:ind w:left="1440" w:hanging="360"/>
      </w:pPr>
      <w:rPr>
        <w:rFonts w:ascii="Wingdings" w:hAnsi="Wingdings" w:hint="default"/>
      </w:rPr>
    </w:lvl>
    <w:lvl w:ilvl="1" w:tplc="0C090003" w:tentative="1">
      <w:start w:val="1"/>
      <w:numFmt w:val="bullet"/>
      <w:lvlText w:val="o"/>
      <w:lvlJc w:val="left"/>
      <w:pPr>
        <w:tabs>
          <w:tab w:val="num" w:pos="2160"/>
        </w:tabs>
        <w:ind w:left="2160" w:hanging="360"/>
      </w:pPr>
      <w:rPr>
        <w:rFonts w:ascii="Courier New" w:hAnsi="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0">
    <w:nsid w:val="32F7787F"/>
    <w:multiLevelType w:val="hybridMultilevel"/>
    <w:tmpl w:val="590459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3DD6BFA"/>
    <w:multiLevelType w:val="hybridMultilevel"/>
    <w:tmpl w:val="44CA44F6"/>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12">
    <w:nsid w:val="343E7E45"/>
    <w:multiLevelType w:val="hybridMultilevel"/>
    <w:tmpl w:val="F4B20012"/>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34945F23"/>
    <w:multiLevelType w:val="hybridMultilevel"/>
    <w:tmpl w:val="FB6E5C7A"/>
    <w:lvl w:ilvl="0" w:tplc="14090017">
      <w:start w:val="1"/>
      <w:numFmt w:val="lowerLetter"/>
      <w:lvlText w:val="%1)"/>
      <w:lvlJc w:val="left"/>
      <w:pPr>
        <w:ind w:left="1440" w:hanging="360"/>
      </w:pPr>
      <w:rPr>
        <w:rFonts w:hint="default"/>
      </w:rPr>
    </w:lvl>
    <w:lvl w:ilvl="1" w:tplc="0C090005">
      <w:start w:val="1"/>
      <w:numFmt w:val="bullet"/>
      <w:lvlText w:val=""/>
      <w:lvlJc w:val="left"/>
      <w:pPr>
        <w:tabs>
          <w:tab w:val="num" w:pos="2160"/>
        </w:tabs>
        <w:ind w:left="2160" w:hanging="360"/>
      </w:pPr>
      <w:rPr>
        <w:rFonts w:ascii="Wingdings" w:hAnsi="Wingdings"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4">
    <w:nsid w:val="34FB2FE5"/>
    <w:multiLevelType w:val="multilevel"/>
    <w:tmpl w:val="4B28AA00"/>
    <w:lvl w:ilvl="0">
      <w:start w:val="1"/>
      <w:numFmt w:val="decimal"/>
      <w:pStyle w:val="Heading1"/>
      <w:lvlText w:val="%1."/>
      <w:lvlJc w:val="left"/>
      <w:pPr>
        <w:tabs>
          <w:tab w:val="num" w:pos="720"/>
        </w:tabs>
        <w:ind w:left="720" w:hanging="720"/>
      </w:pPr>
      <w:rPr>
        <w:rFonts w:ascii="Arial Bold" w:hAnsi="Arial Bold" w:cs="Times New Roman" w:hint="default"/>
        <w:b/>
        <w:i w:val="0"/>
        <w:caps/>
        <w:color w:val="17365D"/>
        <w:sz w:val="24"/>
      </w:rPr>
    </w:lvl>
    <w:lvl w:ilvl="1">
      <w:start w:val="1"/>
      <w:numFmt w:val="decimal"/>
      <w:pStyle w:val="Heading2"/>
      <w:lvlText w:val="%1.%2"/>
      <w:lvlJc w:val="left"/>
      <w:pPr>
        <w:tabs>
          <w:tab w:val="num" w:pos="2810"/>
        </w:tabs>
        <w:ind w:left="2810" w:hanging="720"/>
      </w:pPr>
      <w:rPr>
        <w:rFonts w:ascii="Arial Bold" w:hAnsi="Arial Bold" w:cs="Times New Roman" w:hint="default"/>
        <w:b/>
        <w:i w:val="0"/>
        <w:caps w:val="0"/>
        <w:strike w:val="0"/>
        <w:dstrike w:val="0"/>
        <w:vanish w:val="0"/>
        <w:color w:val="auto"/>
        <w:sz w:val="22"/>
        <w:vertAlign w:val="baseline"/>
      </w:rPr>
    </w:lvl>
    <w:lvl w:ilvl="2">
      <w:start w:val="1"/>
      <w:numFmt w:val="decimal"/>
      <w:lvlText w:val="%1.%2.%3"/>
      <w:lvlJc w:val="left"/>
      <w:pPr>
        <w:tabs>
          <w:tab w:val="num" w:pos="720"/>
        </w:tabs>
        <w:ind w:left="720" w:hanging="720"/>
      </w:pPr>
      <w:rPr>
        <w:rFonts w:ascii="Calibri" w:hAnsi="Calibri" w:cs="Times New Roman" w:hint="default"/>
        <w:b w:val="0"/>
        <w:i w:val="0"/>
        <w:color w:val="000000"/>
        <w:sz w:val="22"/>
      </w:rPr>
    </w:lvl>
    <w:lvl w:ilvl="3">
      <w:start w:val="1"/>
      <w:numFmt w:val="lowerLetter"/>
      <w:lvlText w:val="(%4)"/>
      <w:lvlJc w:val="left"/>
      <w:pPr>
        <w:tabs>
          <w:tab w:val="num" w:pos="2461"/>
        </w:tabs>
        <w:ind w:left="2461" w:hanging="850"/>
      </w:pPr>
      <w:rPr>
        <w:rFonts w:ascii="Arial" w:hAnsi="Arial" w:cs="Times New Roman" w:hint="default"/>
        <w:b w:val="0"/>
        <w:i w:val="0"/>
        <w:color w:val="000000"/>
        <w:sz w:val="22"/>
      </w:rPr>
    </w:lvl>
    <w:lvl w:ilvl="4">
      <w:start w:val="1"/>
      <w:numFmt w:val="lowerRoman"/>
      <w:lvlText w:val="(%5)"/>
      <w:lvlJc w:val="left"/>
      <w:pPr>
        <w:tabs>
          <w:tab w:val="num" w:pos="4253"/>
        </w:tabs>
        <w:ind w:left="4253" w:hanging="851"/>
      </w:pPr>
      <w:rPr>
        <w:rFonts w:ascii="Arial" w:hAnsi="Arial" w:cs="Times New Roman" w:hint="default"/>
        <w:color w:val="000000"/>
        <w:sz w:val="23"/>
      </w:rPr>
    </w:lvl>
    <w:lvl w:ilvl="5">
      <w:start w:val="1"/>
      <w:numFmt w:val="none"/>
      <w:suff w:val="nothing"/>
      <w:lvlText w:val=""/>
      <w:lvlJc w:val="left"/>
      <w:rPr>
        <w:rFonts w:cs="Times New Roman" w:hint="default"/>
        <w:color w:val="000000"/>
      </w:rPr>
    </w:lvl>
    <w:lvl w:ilvl="6">
      <w:start w:val="1"/>
      <w:numFmt w:val="none"/>
      <w:suff w:val="nothing"/>
      <w:lvlText w:val=""/>
      <w:lvlJc w:val="left"/>
      <w:rPr>
        <w:rFonts w:cs="Times New Roman" w:hint="default"/>
        <w:color w:val="000000"/>
      </w:rPr>
    </w:lvl>
    <w:lvl w:ilvl="7">
      <w:start w:val="1"/>
      <w:numFmt w:val="none"/>
      <w:suff w:val="nothing"/>
      <w:lvlText w:val=""/>
      <w:lvlJc w:val="left"/>
      <w:rPr>
        <w:rFonts w:cs="Times New Roman" w:hint="default"/>
        <w:color w:val="000000"/>
      </w:rPr>
    </w:lvl>
    <w:lvl w:ilvl="8">
      <w:start w:val="1"/>
      <w:numFmt w:val="none"/>
      <w:suff w:val="nothing"/>
      <w:lvlText w:val=""/>
      <w:lvlJc w:val="left"/>
      <w:rPr>
        <w:rFonts w:cs="Times New Roman" w:hint="default"/>
        <w:color w:val="000000"/>
      </w:rPr>
    </w:lvl>
  </w:abstractNum>
  <w:abstractNum w:abstractNumId="15">
    <w:nsid w:val="362E4E50"/>
    <w:multiLevelType w:val="hybridMultilevel"/>
    <w:tmpl w:val="23FE3532"/>
    <w:lvl w:ilvl="0" w:tplc="0C090005">
      <w:start w:val="1"/>
      <w:numFmt w:val="bullet"/>
      <w:lvlText w:val=""/>
      <w:lvlJc w:val="left"/>
      <w:pPr>
        <w:tabs>
          <w:tab w:val="num" w:pos="1440"/>
        </w:tabs>
        <w:ind w:left="1440" w:hanging="360"/>
      </w:pPr>
      <w:rPr>
        <w:rFonts w:ascii="Wingdings" w:hAnsi="Wingdings" w:hint="default"/>
      </w:rPr>
    </w:lvl>
    <w:lvl w:ilvl="1" w:tplc="0C090003" w:tentative="1">
      <w:start w:val="1"/>
      <w:numFmt w:val="bullet"/>
      <w:lvlText w:val="o"/>
      <w:lvlJc w:val="left"/>
      <w:pPr>
        <w:tabs>
          <w:tab w:val="num" w:pos="2160"/>
        </w:tabs>
        <w:ind w:left="2160" w:hanging="360"/>
      </w:pPr>
      <w:rPr>
        <w:rFonts w:ascii="Courier New" w:hAnsi="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6">
    <w:nsid w:val="3B770400"/>
    <w:multiLevelType w:val="hybridMultilevel"/>
    <w:tmpl w:val="4EE86FC2"/>
    <w:lvl w:ilvl="0" w:tplc="0C090005">
      <w:start w:val="1"/>
      <w:numFmt w:val="bullet"/>
      <w:lvlText w:val=""/>
      <w:lvlJc w:val="left"/>
      <w:pPr>
        <w:tabs>
          <w:tab w:val="num" w:pos="1080"/>
        </w:tabs>
        <w:ind w:left="1080" w:hanging="360"/>
      </w:pPr>
      <w:rPr>
        <w:rFonts w:ascii="Wingdings" w:hAnsi="Wingdings"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7">
    <w:nsid w:val="44E972F8"/>
    <w:multiLevelType w:val="hybridMultilevel"/>
    <w:tmpl w:val="E6C81C94"/>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8">
    <w:nsid w:val="4C9B1A9B"/>
    <w:multiLevelType w:val="hybridMultilevel"/>
    <w:tmpl w:val="DBEECCDE"/>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4E2536FD"/>
    <w:multiLevelType w:val="hybridMultilevel"/>
    <w:tmpl w:val="87D69DA6"/>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52A30013"/>
    <w:multiLevelType w:val="hybridMultilevel"/>
    <w:tmpl w:val="E9249D3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1">
    <w:nsid w:val="541319B2"/>
    <w:multiLevelType w:val="hybridMultilevel"/>
    <w:tmpl w:val="D3F619DC"/>
    <w:lvl w:ilvl="0" w:tplc="0C090005">
      <w:start w:val="1"/>
      <w:numFmt w:val="bullet"/>
      <w:lvlText w:val=""/>
      <w:lvlJc w:val="left"/>
      <w:pPr>
        <w:tabs>
          <w:tab w:val="num" w:pos="1380"/>
        </w:tabs>
        <w:ind w:left="1380" w:hanging="360"/>
      </w:pPr>
      <w:rPr>
        <w:rFonts w:ascii="Wingdings" w:hAnsi="Wingdings" w:hint="default"/>
      </w:rPr>
    </w:lvl>
    <w:lvl w:ilvl="1" w:tplc="0C090003" w:tentative="1">
      <w:start w:val="1"/>
      <w:numFmt w:val="bullet"/>
      <w:lvlText w:val="o"/>
      <w:lvlJc w:val="left"/>
      <w:pPr>
        <w:tabs>
          <w:tab w:val="num" w:pos="2100"/>
        </w:tabs>
        <w:ind w:left="2100" w:hanging="360"/>
      </w:pPr>
      <w:rPr>
        <w:rFonts w:ascii="Courier New" w:hAnsi="Courier New" w:hint="default"/>
      </w:rPr>
    </w:lvl>
    <w:lvl w:ilvl="2" w:tplc="0C090005" w:tentative="1">
      <w:start w:val="1"/>
      <w:numFmt w:val="bullet"/>
      <w:lvlText w:val=""/>
      <w:lvlJc w:val="left"/>
      <w:pPr>
        <w:tabs>
          <w:tab w:val="num" w:pos="2820"/>
        </w:tabs>
        <w:ind w:left="2820" w:hanging="360"/>
      </w:pPr>
      <w:rPr>
        <w:rFonts w:ascii="Wingdings" w:hAnsi="Wingdings" w:hint="default"/>
      </w:rPr>
    </w:lvl>
    <w:lvl w:ilvl="3" w:tplc="0C090001" w:tentative="1">
      <w:start w:val="1"/>
      <w:numFmt w:val="bullet"/>
      <w:lvlText w:val=""/>
      <w:lvlJc w:val="left"/>
      <w:pPr>
        <w:tabs>
          <w:tab w:val="num" w:pos="3540"/>
        </w:tabs>
        <w:ind w:left="3540" w:hanging="360"/>
      </w:pPr>
      <w:rPr>
        <w:rFonts w:ascii="Symbol" w:hAnsi="Symbol" w:hint="default"/>
      </w:rPr>
    </w:lvl>
    <w:lvl w:ilvl="4" w:tplc="0C090003" w:tentative="1">
      <w:start w:val="1"/>
      <w:numFmt w:val="bullet"/>
      <w:lvlText w:val="o"/>
      <w:lvlJc w:val="left"/>
      <w:pPr>
        <w:tabs>
          <w:tab w:val="num" w:pos="4260"/>
        </w:tabs>
        <w:ind w:left="4260" w:hanging="360"/>
      </w:pPr>
      <w:rPr>
        <w:rFonts w:ascii="Courier New" w:hAnsi="Courier New" w:hint="default"/>
      </w:rPr>
    </w:lvl>
    <w:lvl w:ilvl="5" w:tplc="0C090005" w:tentative="1">
      <w:start w:val="1"/>
      <w:numFmt w:val="bullet"/>
      <w:lvlText w:val=""/>
      <w:lvlJc w:val="left"/>
      <w:pPr>
        <w:tabs>
          <w:tab w:val="num" w:pos="4980"/>
        </w:tabs>
        <w:ind w:left="4980" w:hanging="360"/>
      </w:pPr>
      <w:rPr>
        <w:rFonts w:ascii="Wingdings" w:hAnsi="Wingdings" w:hint="default"/>
      </w:rPr>
    </w:lvl>
    <w:lvl w:ilvl="6" w:tplc="0C090001" w:tentative="1">
      <w:start w:val="1"/>
      <w:numFmt w:val="bullet"/>
      <w:lvlText w:val=""/>
      <w:lvlJc w:val="left"/>
      <w:pPr>
        <w:tabs>
          <w:tab w:val="num" w:pos="5700"/>
        </w:tabs>
        <w:ind w:left="5700" w:hanging="360"/>
      </w:pPr>
      <w:rPr>
        <w:rFonts w:ascii="Symbol" w:hAnsi="Symbol" w:hint="default"/>
      </w:rPr>
    </w:lvl>
    <w:lvl w:ilvl="7" w:tplc="0C090003" w:tentative="1">
      <w:start w:val="1"/>
      <w:numFmt w:val="bullet"/>
      <w:lvlText w:val="o"/>
      <w:lvlJc w:val="left"/>
      <w:pPr>
        <w:tabs>
          <w:tab w:val="num" w:pos="6420"/>
        </w:tabs>
        <w:ind w:left="6420" w:hanging="360"/>
      </w:pPr>
      <w:rPr>
        <w:rFonts w:ascii="Courier New" w:hAnsi="Courier New" w:hint="default"/>
      </w:rPr>
    </w:lvl>
    <w:lvl w:ilvl="8" w:tplc="0C090005" w:tentative="1">
      <w:start w:val="1"/>
      <w:numFmt w:val="bullet"/>
      <w:lvlText w:val=""/>
      <w:lvlJc w:val="left"/>
      <w:pPr>
        <w:tabs>
          <w:tab w:val="num" w:pos="7140"/>
        </w:tabs>
        <w:ind w:left="7140" w:hanging="360"/>
      </w:pPr>
      <w:rPr>
        <w:rFonts w:ascii="Wingdings" w:hAnsi="Wingdings" w:hint="default"/>
      </w:rPr>
    </w:lvl>
  </w:abstractNum>
  <w:abstractNum w:abstractNumId="22">
    <w:nsid w:val="54144BA3"/>
    <w:multiLevelType w:val="hybridMultilevel"/>
    <w:tmpl w:val="FE968DAC"/>
    <w:lvl w:ilvl="0" w:tplc="14090001">
      <w:start w:val="1"/>
      <w:numFmt w:val="bullet"/>
      <w:lvlText w:val=""/>
      <w:lvlJc w:val="left"/>
      <w:pPr>
        <w:ind w:left="1380" w:hanging="360"/>
      </w:pPr>
      <w:rPr>
        <w:rFonts w:ascii="Symbol" w:hAnsi="Symbol" w:hint="default"/>
      </w:rPr>
    </w:lvl>
    <w:lvl w:ilvl="1" w:tplc="14090003" w:tentative="1">
      <w:start w:val="1"/>
      <w:numFmt w:val="bullet"/>
      <w:lvlText w:val="o"/>
      <w:lvlJc w:val="left"/>
      <w:pPr>
        <w:ind w:left="2100" w:hanging="360"/>
      </w:pPr>
      <w:rPr>
        <w:rFonts w:ascii="Courier New" w:hAnsi="Courier New" w:cs="Courier New" w:hint="default"/>
      </w:rPr>
    </w:lvl>
    <w:lvl w:ilvl="2" w:tplc="14090005" w:tentative="1">
      <w:start w:val="1"/>
      <w:numFmt w:val="bullet"/>
      <w:lvlText w:val=""/>
      <w:lvlJc w:val="left"/>
      <w:pPr>
        <w:ind w:left="2820" w:hanging="360"/>
      </w:pPr>
      <w:rPr>
        <w:rFonts w:ascii="Wingdings" w:hAnsi="Wingdings" w:hint="default"/>
      </w:rPr>
    </w:lvl>
    <w:lvl w:ilvl="3" w:tplc="14090001" w:tentative="1">
      <w:start w:val="1"/>
      <w:numFmt w:val="bullet"/>
      <w:lvlText w:val=""/>
      <w:lvlJc w:val="left"/>
      <w:pPr>
        <w:ind w:left="3540" w:hanging="360"/>
      </w:pPr>
      <w:rPr>
        <w:rFonts w:ascii="Symbol" w:hAnsi="Symbol" w:hint="default"/>
      </w:rPr>
    </w:lvl>
    <w:lvl w:ilvl="4" w:tplc="14090003" w:tentative="1">
      <w:start w:val="1"/>
      <w:numFmt w:val="bullet"/>
      <w:lvlText w:val="o"/>
      <w:lvlJc w:val="left"/>
      <w:pPr>
        <w:ind w:left="4260" w:hanging="360"/>
      </w:pPr>
      <w:rPr>
        <w:rFonts w:ascii="Courier New" w:hAnsi="Courier New" w:cs="Courier New" w:hint="default"/>
      </w:rPr>
    </w:lvl>
    <w:lvl w:ilvl="5" w:tplc="14090005" w:tentative="1">
      <w:start w:val="1"/>
      <w:numFmt w:val="bullet"/>
      <w:lvlText w:val=""/>
      <w:lvlJc w:val="left"/>
      <w:pPr>
        <w:ind w:left="4980" w:hanging="360"/>
      </w:pPr>
      <w:rPr>
        <w:rFonts w:ascii="Wingdings" w:hAnsi="Wingdings" w:hint="default"/>
      </w:rPr>
    </w:lvl>
    <w:lvl w:ilvl="6" w:tplc="14090001" w:tentative="1">
      <w:start w:val="1"/>
      <w:numFmt w:val="bullet"/>
      <w:lvlText w:val=""/>
      <w:lvlJc w:val="left"/>
      <w:pPr>
        <w:ind w:left="5700" w:hanging="360"/>
      </w:pPr>
      <w:rPr>
        <w:rFonts w:ascii="Symbol" w:hAnsi="Symbol" w:hint="default"/>
      </w:rPr>
    </w:lvl>
    <w:lvl w:ilvl="7" w:tplc="14090003" w:tentative="1">
      <w:start w:val="1"/>
      <w:numFmt w:val="bullet"/>
      <w:lvlText w:val="o"/>
      <w:lvlJc w:val="left"/>
      <w:pPr>
        <w:ind w:left="6420" w:hanging="360"/>
      </w:pPr>
      <w:rPr>
        <w:rFonts w:ascii="Courier New" w:hAnsi="Courier New" w:cs="Courier New" w:hint="default"/>
      </w:rPr>
    </w:lvl>
    <w:lvl w:ilvl="8" w:tplc="14090005" w:tentative="1">
      <w:start w:val="1"/>
      <w:numFmt w:val="bullet"/>
      <w:lvlText w:val=""/>
      <w:lvlJc w:val="left"/>
      <w:pPr>
        <w:ind w:left="7140" w:hanging="360"/>
      </w:pPr>
      <w:rPr>
        <w:rFonts w:ascii="Wingdings" w:hAnsi="Wingdings" w:hint="default"/>
      </w:rPr>
    </w:lvl>
  </w:abstractNum>
  <w:abstractNum w:abstractNumId="23">
    <w:nsid w:val="5B31258B"/>
    <w:multiLevelType w:val="hybridMultilevel"/>
    <w:tmpl w:val="D79869D2"/>
    <w:lvl w:ilvl="0" w:tplc="14090001">
      <w:start w:val="1"/>
      <w:numFmt w:val="bullet"/>
      <w:lvlText w:val=""/>
      <w:lvlJc w:val="left"/>
      <w:pPr>
        <w:ind w:left="108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4">
    <w:nsid w:val="625E0697"/>
    <w:multiLevelType w:val="hybridMultilevel"/>
    <w:tmpl w:val="1BFCF54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5">
    <w:nsid w:val="6FFC6A42"/>
    <w:multiLevelType w:val="hybridMultilevel"/>
    <w:tmpl w:val="17324AF0"/>
    <w:lvl w:ilvl="0" w:tplc="14090017">
      <w:start w:val="1"/>
      <w:numFmt w:val="lowerLetter"/>
      <w:lvlText w:val="%1)"/>
      <w:lvlJc w:val="left"/>
      <w:pPr>
        <w:ind w:left="720" w:hanging="36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6">
    <w:nsid w:val="706C3B7B"/>
    <w:multiLevelType w:val="hybridMultilevel"/>
    <w:tmpl w:val="55D2C872"/>
    <w:lvl w:ilvl="0" w:tplc="0C090005">
      <w:start w:val="1"/>
      <w:numFmt w:val="bullet"/>
      <w:lvlText w:val=""/>
      <w:lvlJc w:val="left"/>
      <w:pPr>
        <w:tabs>
          <w:tab w:val="num" w:pos="1440"/>
        </w:tabs>
        <w:ind w:left="1440" w:hanging="360"/>
      </w:pPr>
      <w:rPr>
        <w:rFonts w:ascii="Wingdings" w:hAnsi="Wingdings" w:hint="default"/>
      </w:rPr>
    </w:lvl>
    <w:lvl w:ilvl="1" w:tplc="0C090003" w:tentative="1">
      <w:start w:val="1"/>
      <w:numFmt w:val="bullet"/>
      <w:lvlText w:val="o"/>
      <w:lvlJc w:val="left"/>
      <w:pPr>
        <w:tabs>
          <w:tab w:val="num" w:pos="2160"/>
        </w:tabs>
        <w:ind w:left="2160" w:hanging="360"/>
      </w:pPr>
      <w:rPr>
        <w:rFonts w:ascii="Courier New" w:hAnsi="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7">
    <w:nsid w:val="71871345"/>
    <w:multiLevelType w:val="hybridMultilevel"/>
    <w:tmpl w:val="CB36612E"/>
    <w:lvl w:ilvl="0" w:tplc="14090001">
      <w:start w:val="1"/>
      <w:numFmt w:val="bullet"/>
      <w:lvlText w:val=""/>
      <w:lvlJc w:val="left"/>
      <w:pPr>
        <w:ind w:left="1440" w:hanging="360"/>
      </w:pPr>
      <w:rPr>
        <w:rFonts w:ascii="Symbol" w:hAnsi="Symbol" w:hint="default"/>
      </w:rPr>
    </w:lvl>
    <w:lvl w:ilvl="1" w:tplc="14090019" w:tentative="1">
      <w:start w:val="1"/>
      <w:numFmt w:val="lowerLetter"/>
      <w:lvlText w:val="%2."/>
      <w:lvlJc w:val="left"/>
      <w:pPr>
        <w:ind w:left="2160" w:hanging="360"/>
      </w:pPr>
      <w:rPr>
        <w:rFonts w:cs="Times New Roman"/>
      </w:rPr>
    </w:lvl>
    <w:lvl w:ilvl="2" w:tplc="1409001B" w:tentative="1">
      <w:start w:val="1"/>
      <w:numFmt w:val="lowerRoman"/>
      <w:lvlText w:val="%3."/>
      <w:lvlJc w:val="right"/>
      <w:pPr>
        <w:ind w:left="2880" w:hanging="180"/>
      </w:pPr>
      <w:rPr>
        <w:rFonts w:cs="Times New Roman"/>
      </w:rPr>
    </w:lvl>
    <w:lvl w:ilvl="3" w:tplc="1409000F" w:tentative="1">
      <w:start w:val="1"/>
      <w:numFmt w:val="decimal"/>
      <w:lvlText w:val="%4."/>
      <w:lvlJc w:val="left"/>
      <w:pPr>
        <w:ind w:left="3600" w:hanging="360"/>
      </w:pPr>
      <w:rPr>
        <w:rFonts w:cs="Times New Roman"/>
      </w:rPr>
    </w:lvl>
    <w:lvl w:ilvl="4" w:tplc="14090019" w:tentative="1">
      <w:start w:val="1"/>
      <w:numFmt w:val="lowerLetter"/>
      <w:lvlText w:val="%5."/>
      <w:lvlJc w:val="left"/>
      <w:pPr>
        <w:ind w:left="4320" w:hanging="360"/>
      </w:pPr>
      <w:rPr>
        <w:rFonts w:cs="Times New Roman"/>
      </w:rPr>
    </w:lvl>
    <w:lvl w:ilvl="5" w:tplc="1409001B" w:tentative="1">
      <w:start w:val="1"/>
      <w:numFmt w:val="lowerRoman"/>
      <w:lvlText w:val="%6."/>
      <w:lvlJc w:val="right"/>
      <w:pPr>
        <w:ind w:left="5040" w:hanging="180"/>
      </w:pPr>
      <w:rPr>
        <w:rFonts w:cs="Times New Roman"/>
      </w:rPr>
    </w:lvl>
    <w:lvl w:ilvl="6" w:tplc="1409000F" w:tentative="1">
      <w:start w:val="1"/>
      <w:numFmt w:val="decimal"/>
      <w:lvlText w:val="%7."/>
      <w:lvlJc w:val="left"/>
      <w:pPr>
        <w:ind w:left="5760" w:hanging="360"/>
      </w:pPr>
      <w:rPr>
        <w:rFonts w:cs="Times New Roman"/>
      </w:rPr>
    </w:lvl>
    <w:lvl w:ilvl="7" w:tplc="14090019" w:tentative="1">
      <w:start w:val="1"/>
      <w:numFmt w:val="lowerLetter"/>
      <w:lvlText w:val="%8."/>
      <w:lvlJc w:val="left"/>
      <w:pPr>
        <w:ind w:left="6480" w:hanging="360"/>
      </w:pPr>
      <w:rPr>
        <w:rFonts w:cs="Times New Roman"/>
      </w:rPr>
    </w:lvl>
    <w:lvl w:ilvl="8" w:tplc="1409001B" w:tentative="1">
      <w:start w:val="1"/>
      <w:numFmt w:val="lowerRoman"/>
      <w:lvlText w:val="%9."/>
      <w:lvlJc w:val="right"/>
      <w:pPr>
        <w:ind w:left="7200" w:hanging="180"/>
      </w:pPr>
      <w:rPr>
        <w:rFonts w:cs="Times New Roman"/>
      </w:rPr>
    </w:lvl>
  </w:abstractNum>
  <w:abstractNum w:abstractNumId="28">
    <w:nsid w:val="7321113F"/>
    <w:multiLevelType w:val="hybridMultilevel"/>
    <w:tmpl w:val="8C40F7F0"/>
    <w:lvl w:ilvl="0" w:tplc="1409000F">
      <w:start w:val="1"/>
      <w:numFmt w:val="decimal"/>
      <w:lvlText w:val="%1."/>
      <w:lvlJc w:val="left"/>
      <w:pPr>
        <w:ind w:left="1440" w:hanging="360"/>
      </w:pPr>
      <w:rPr>
        <w:rFonts w:hint="default"/>
      </w:rPr>
    </w:lvl>
    <w:lvl w:ilvl="1" w:tplc="0C090005">
      <w:start w:val="1"/>
      <w:numFmt w:val="bullet"/>
      <w:lvlText w:val=""/>
      <w:lvlJc w:val="left"/>
      <w:pPr>
        <w:tabs>
          <w:tab w:val="num" w:pos="2160"/>
        </w:tabs>
        <w:ind w:left="2160" w:hanging="360"/>
      </w:pPr>
      <w:rPr>
        <w:rFonts w:ascii="Wingdings" w:hAnsi="Wingdings"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9">
    <w:nsid w:val="73414BE8"/>
    <w:multiLevelType w:val="hybridMultilevel"/>
    <w:tmpl w:val="6C78C70C"/>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74012BE2"/>
    <w:multiLevelType w:val="hybridMultilevel"/>
    <w:tmpl w:val="09E2A5C8"/>
    <w:lvl w:ilvl="0" w:tplc="14090001">
      <w:start w:val="1"/>
      <w:numFmt w:val="bullet"/>
      <w:lvlText w:val=""/>
      <w:lvlJc w:val="left"/>
      <w:pPr>
        <w:ind w:left="1440" w:hanging="360"/>
      </w:pPr>
      <w:rPr>
        <w:rFonts w:ascii="Symbol" w:hAnsi="Symbol" w:hint="default"/>
      </w:rPr>
    </w:lvl>
    <w:lvl w:ilvl="1" w:tplc="0C090005">
      <w:start w:val="1"/>
      <w:numFmt w:val="bullet"/>
      <w:lvlText w:val=""/>
      <w:lvlJc w:val="left"/>
      <w:pPr>
        <w:tabs>
          <w:tab w:val="num" w:pos="2160"/>
        </w:tabs>
        <w:ind w:left="2160" w:hanging="360"/>
      </w:pPr>
      <w:rPr>
        <w:rFonts w:ascii="Wingdings" w:hAnsi="Wingdings"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0"/>
  </w:num>
  <w:num w:numId="2">
    <w:abstractNumId w:val="14"/>
  </w:num>
  <w:num w:numId="3">
    <w:abstractNumId w:val="5"/>
  </w:num>
  <w:num w:numId="4">
    <w:abstractNumId w:val="6"/>
  </w:num>
  <w:num w:numId="5">
    <w:abstractNumId w:val="7"/>
  </w:num>
  <w:num w:numId="6">
    <w:abstractNumId w:val="27"/>
  </w:num>
  <w:num w:numId="7">
    <w:abstractNumId w:val="30"/>
  </w:num>
  <w:num w:numId="8">
    <w:abstractNumId w:val="24"/>
  </w:num>
  <w:num w:numId="9">
    <w:abstractNumId w:val="4"/>
  </w:num>
  <w:num w:numId="10">
    <w:abstractNumId w:val="16"/>
  </w:num>
  <w:num w:numId="11">
    <w:abstractNumId w:val="23"/>
  </w:num>
  <w:num w:numId="12">
    <w:abstractNumId w:val="26"/>
  </w:num>
  <w:num w:numId="13">
    <w:abstractNumId w:val="15"/>
  </w:num>
  <w:num w:numId="14">
    <w:abstractNumId w:val="1"/>
  </w:num>
  <w:num w:numId="15">
    <w:abstractNumId w:val="9"/>
  </w:num>
  <w:num w:numId="16">
    <w:abstractNumId w:val="2"/>
  </w:num>
  <w:num w:numId="17">
    <w:abstractNumId w:val="29"/>
  </w:num>
  <w:num w:numId="18">
    <w:abstractNumId w:val="18"/>
  </w:num>
  <w:num w:numId="19">
    <w:abstractNumId w:val="19"/>
  </w:num>
  <w:num w:numId="20">
    <w:abstractNumId w:val="21"/>
  </w:num>
  <w:num w:numId="21">
    <w:abstractNumId w:val="3"/>
  </w:num>
  <w:num w:numId="22">
    <w:abstractNumId w:val="12"/>
  </w:num>
  <w:num w:numId="23">
    <w:abstractNumId w:val="25"/>
  </w:num>
  <w:num w:numId="24">
    <w:abstractNumId w:val="10"/>
  </w:num>
  <w:num w:numId="25">
    <w:abstractNumId w:val="20"/>
  </w:num>
  <w:num w:numId="26">
    <w:abstractNumId w:val="22"/>
  </w:num>
  <w:num w:numId="27">
    <w:abstractNumId w:val="11"/>
  </w:num>
  <w:num w:numId="28">
    <w:abstractNumId w:val="17"/>
  </w:num>
  <w:num w:numId="29">
    <w:abstractNumId w:val="14"/>
  </w:num>
  <w:num w:numId="30">
    <w:abstractNumId w:val="14"/>
  </w:num>
  <w:num w:numId="31">
    <w:abstractNumId w:val="28"/>
  </w:num>
  <w:num w:numId="32">
    <w:abstractNumId w:val="8"/>
  </w:num>
  <w:num w:numId="33">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20"/>
  <w:drawingGridHorizontalSpacing w:val="110"/>
  <w:drawingGridVerticalSpacing w:val="299"/>
  <w:displayHorizontalDrawingGridEvery w:val="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7AE"/>
    <w:rsid w:val="000002F6"/>
    <w:rsid w:val="00000B92"/>
    <w:rsid w:val="00002195"/>
    <w:rsid w:val="00004123"/>
    <w:rsid w:val="00005129"/>
    <w:rsid w:val="000069B4"/>
    <w:rsid w:val="000071C4"/>
    <w:rsid w:val="00007966"/>
    <w:rsid w:val="00010073"/>
    <w:rsid w:val="000112C0"/>
    <w:rsid w:val="0001226C"/>
    <w:rsid w:val="000125D9"/>
    <w:rsid w:val="0001450C"/>
    <w:rsid w:val="00014A5B"/>
    <w:rsid w:val="000151E2"/>
    <w:rsid w:val="00015459"/>
    <w:rsid w:val="000157BB"/>
    <w:rsid w:val="000161F0"/>
    <w:rsid w:val="00016B83"/>
    <w:rsid w:val="00016E93"/>
    <w:rsid w:val="00017C0A"/>
    <w:rsid w:val="000200AB"/>
    <w:rsid w:val="00020B58"/>
    <w:rsid w:val="00021229"/>
    <w:rsid w:val="000214B7"/>
    <w:rsid w:val="00022BF2"/>
    <w:rsid w:val="00023961"/>
    <w:rsid w:val="00024464"/>
    <w:rsid w:val="00025592"/>
    <w:rsid w:val="0002579E"/>
    <w:rsid w:val="000260DE"/>
    <w:rsid w:val="00026418"/>
    <w:rsid w:val="000275D9"/>
    <w:rsid w:val="00027E7C"/>
    <w:rsid w:val="00030416"/>
    <w:rsid w:val="00030B7F"/>
    <w:rsid w:val="00031515"/>
    <w:rsid w:val="0003182C"/>
    <w:rsid w:val="00032430"/>
    <w:rsid w:val="00032B48"/>
    <w:rsid w:val="00032BC6"/>
    <w:rsid w:val="0003335A"/>
    <w:rsid w:val="00036557"/>
    <w:rsid w:val="0003690B"/>
    <w:rsid w:val="00036BE5"/>
    <w:rsid w:val="00036C6C"/>
    <w:rsid w:val="00036FD4"/>
    <w:rsid w:val="0003707A"/>
    <w:rsid w:val="000375C7"/>
    <w:rsid w:val="000426E5"/>
    <w:rsid w:val="00042AEA"/>
    <w:rsid w:val="00044871"/>
    <w:rsid w:val="000456CF"/>
    <w:rsid w:val="00045AB0"/>
    <w:rsid w:val="00050139"/>
    <w:rsid w:val="00050995"/>
    <w:rsid w:val="00050A12"/>
    <w:rsid w:val="00050ED3"/>
    <w:rsid w:val="000510C3"/>
    <w:rsid w:val="000511D3"/>
    <w:rsid w:val="00051FEE"/>
    <w:rsid w:val="000520CB"/>
    <w:rsid w:val="000526A3"/>
    <w:rsid w:val="00052C7E"/>
    <w:rsid w:val="000530C9"/>
    <w:rsid w:val="00053259"/>
    <w:rsid w:val="00053CCB"/>
    <w:rsid w:val="000544FE"/>
    <w:rsid w:val="0005492F"/>
    <w:rsid w:val="00055C47"/>
    <w:rsid w:val="000567D8"/>
    <w:rsid w:val="00056C49"/>
    <w:rsid w:val="000575BF"/>
    <w:rsid w:val="00057EC4"/>
    <w:rsid w:val="000609CC"/>
    <w:rsid w:val="00062377"/>
    <w:rsid w:val="00063233"/>
    <w:rsid w:val="00064A42"/>
    <w:rsid w:val="00065450"/>
    <w:rsid w:val="00066F6C"/>
    <w:rsid w:val="0006730B"/>
    <w:rsid w:val="0006796A"/>
    <w:rsid w:val="00067BA0"/>
    <w:rsid w:val="0007072F"/>
    <w:rsid w:val="000709E9"/>
    <w:rsid w:val="00072184"/>
    <w:rsid w:val="000723A4"/>
    <w:rsid w:val="00072533"/>
    <w:rsid w:val="000733D8"/>
    <w:rsid w:val="000736B1"/>
    <w:rsid w:val="00075B70"/>
    <w:rsid w:val="000764D3"/>
    <w:rsid w:val="00077612"/>
    <w:rsid w:val="00077EBC"/>
    <w:rsid w:val="00080CA7"/>
    <w:rsid w:val="00081C13"/>
    <w:rsid w:val="00082004"/>
    <w:rsid w:val="000822F3"/>
    <w:rsid w:val="00082FB1"/>
    <w:rsid w:val="00083204"/>
    <w:rsid w:val="00084FCD"/>
    <w:rsid w:val="00085808"/>
    <w:rsid w:val="00085843"/>
    <w:rsid w:val="00085E98"/>
    <w:rsid w:val="00086B4A"/>
    <w:rsid w:val="00091423"/>
    <w:rsid w:val="00091A4A"/>
    <w:rsid w:val="00092176"/>
    <w:rsid w:val="00092CEA"/>
    <w:rsid w:val="000930B4"/>
    <w:rsid w:val="000934A2"/>
    <w:rsid w:val="00093EBC"/>
    <w:rsid w:val="00093F03"/>
    <w:rsid w:val="00094531"/>
    <w:rsid w:val="0009458A"/>
    <w:rsid w:val="00094866"/>
    <w:rsid w:val="00096104"/>
    <w:rsid w:val="000962E5"/>
    <w:rsid w:val="000966EF"/>
    <w:rsid w:val="0009726A"/>
    <w:rsid w:val="00097A80"/>
    <w:rsid w:val="00097B16"/>
    <w:rsid w:val="00097FA4"/>
    <w:rsid w:val="000A0264"/>
    <w:rsid w:val="000A09E7"/>
    <w:rsid w:val="000A0B29"/>
    <w:rsid w:val="000A0EC8"/>
    <w:rsid w:val="000A141F"/>
    <w:rsid w:val="000A1913"/>
    <w:rsid w:val="000A1A99"/>
    <w:rsid w:val="000A1C95"/>
    <w:rsid w:val="000A2913"/>
    <w:rsid w:val="000A2EFD"/>
    <w:rsid w:val="000A3BE1"/>
    <w:rsid w:val="000A3FBF"/>
    <w:rsid w:val="000A3FF0"/>
    <w:rsid w:val="000A4566"/>
    <w:rsid w:val="000A5DF0"/>
    <w:rsid w:val="000A6129"/>
    <w:rsid w:val="000A6888"/>
    <w:rsid w:val="000A6BE3"/>
    <w:rsid w:val="000B0861"/>
    <w:rsid w:val="000B10A6"/>
    <w:rsid w:val="000B162A"/>
    <w:rsid w:val="000B2233"/>
    <w:rsid w:val="000B227B"/>
    <w:rsid w:val="000B23FD"/>
    <w:rsid w:val="000B2AAA"/>
    <w:rsid w:val="000B2EDE"/>
    <w:rsid w:val="000B360B"/>
    <w:rsid w:val="000B43A4"/>
    <w:rsid w:val="000B53B4"/>
    <w:rsid w:val="000C0924"/>
    <w:rsid w:val="000C0F09"/>
    <w:rsid w:val="000C1291"/>
    <w:rsid w:val="000C2134"/>
    <w:rsid w:val="000C230C"/>
    <w:rsid w:val="000C2996"/>
    <w:rsid w:val="000C34A6"/>
    <w:rsid w:val="000C4A8D"/>
    <w:rsid w:val="000C558F"/>
    <w:rsid w:val="000C64FA"/>
    <w:rsid w:val="000C6DF7"/>
    <w:rsid w:val="000D0C05"/>
    <w:rsid w:val="000D1E91"/>
    <w:rsid w:val="000D2604"/>
    <w:rsid w:val="000D378D"/>
    <w:rsid w:val="000D3B06"/>
    <w:rsid w:val="000D4163"/>
    <w:rsid w:val="000D435E"/>
    <w:rsid w:val="000D47D0"/>
    <w:rsid w:val="000D488C"/>
    <w:rsid w:val="000D4E35"/>
    <w:rsid w:val="000D5642"/>
    <w:rsid w:val="000D59E3"/>
    <w:rsid w:val="000D6A84"/>
    <w:rsid w:val="000D76EA"/>
    <w:rsid w:val="000D7914"/>
    <w:rsid w:val="000D7AA5"/>
    <w:rsid w:val="000D7D6D"/>
    <w:rsid w:val="000D7FE7"/>
    <w:rsid w:val="000D7FF4"/>
    <w:rsid w:val="000E002E"/>
    <w:rsid w:val="000E0DF7"/>
    <w:rsid w:val="000E0E07"/>
    <w:rsid w:val="000E1C29"/>
    <w:rsid w:val="000E1E3F"/>
    <w:rsid w:val="000E372E"/>
    <w:rsid w:val="000E3B9D"/>
    <w:rsid w:val="000E486F"/>
    <w:rsid w:val="000E65F0"/>
    <w:rsid w:val="000E69EC"/>
    <w:rsid w:val="000F0454"/>
    <w:rsid w:val="000F174F"/>
    <w:rsid w:val="000F1F0A"/>
    <w:rsid w:val="000F1F83"/>
    <w:rsid w:val="000F2687"/>
    <w:rsid w:val="000F4B49"/>
    <w:rsid w:val="000F5728"/>
    <w:rsid w:val="000F5F41"/>
    <w:rsid w:val="000F7F18"/>
    <w:rsid w:val="00100257"/>
    <w:rsid w:val="00101139"/>
    <w:rsid w:val="00102453"/>
    <w:rsid w:val="00102A3F"/>
    <w:rsid w:val="0010317B"/>
    <w:rsid w:val="00103376"/>
    <w:rsid w:val="00103C7D"/>
    <w:rsid w:val="0010436F"/>
    <w:rsid w:val="00104AE2"/>
    <w:rsid w:val="00104D9C"/>
    <w:rsid w:val="00105437"/>
    <w:rsid w:val="00105AB4"/>
    <w:rsid w:val="00105C39"/>
    <w:rsid w:val="0010752F"/>
    <w:rsid w:val="001105EE"/>
    <w:rsid w:val="00110ABF"/>
    <w:rsid w:val="001117F7"/>
    <w:rsid w:val="00112372"/>
    <w:rsid w:val="00112913"/>
    <w:rsid w:val="001130BE"/>
    <w:rsid w:val="0011402A"/>
    <w:rsid w:val="0011440D"/>
    <w:rsid w:val="00114718"/>
    <w:rsid w:val="00115220"/>
    <w:rsid w:val="00116A42"/>
    <w:rsid w:val="00117003"/>
    <w:rsid w:val="0011713B"/>
    <w:rsid w:val="0012053D"/>
    <w:rsid w:val="00120562"/>
    <w:rsid w:val="00120852"/>
    <w:rsid w:val="001209FA"/>
    <w:rsid w:val="001212FA"/>
    <w:rsid w:val="00121468"/>
    <w:rsid w:val="0012234E"/>
    <w:rsid w:val="00123464"/>
    <w:rsid w:val="00123524"/>
    <w:rsid w:val="00123A62"/>
    <w:rsid w:val="00125C24"/>
    <w:rsid w:val="00125F93"/>
    <w:rsid w:val="0012632E"/>
    <w:rsid w:val="00126491"/>
    <w:rsid w:val="00126B4D"/>
    <w:rsid w:val="00127A17"/>
    <w:rsid w:val="00127AC0"/>
    <w:rsid w:val="00130560"/>
    <w:rsid w:val="0013134E"/>
    <w:rsid w:val="00131496"/>
    <w:rsid w:val="001314CA"/>
    <w:rsid w:val="00131A88"/>
    <w:rsid w:val="00133A3B"/>
    <w:rsid w:val="00133D24"/>
    <w:rsid w:val="00133E42"/>
    <w:rsid w:val="00134638"/>
    <w:rsid w:val="00135865"/>
    <w:rsid w:val="00136C13"/>
    <w:rsid w:val="0013722C"/>
    <w:rsid w:val="00137E8A"/>
    <w:rsid w:val="00140838"/>
    <w:rsid w:val="00142EDD"/>
    <w:rsid w:val="00142F31"/>
    <w:rsid w:val="001431EA"/>
    <w:rsid w:val="001449FA"/>
    <w:rsid w:val="00145DDC"/>
    <w:rsid w:val="00147375"/>
    <w:rsid w:val="00147683"/>
    <w:rsid w:val="00147701"/>
    <w:rsid w:val="001477EF"/>
    <w:rsid w:val="00150029"/>
    <w:rsid w:val="0015079A"/>
    <w:rsid w:val="00150BDA"/>
    <w:rsid w:val="00150E62"/>
    <w:rsid w:val="001513C5"/>
    <w:rsid w:val="0015225F"/>
    <w:rsid w:val="001526AC"/>
    <w:rsid w:val="00152981"/>
    <w:rsid w:val="00152E85"/>
    <w:rsid w:val="00154ED2"/>
    <w:rsid w:val="00154F82"/>
    <w:rsid w:val="00155D2E"/>
    <w:rsid w:val="00156FBB"/>
    <w:rsid w:val="0015717F"/>
    <w:rsid w:val="001610D8"/>
    <w:rsid w:val="001617B9"/>
    <w:rsid w:val="00161C85"/>
    <w:rsid w:val="001623BE"/>
    <w:rsid w:val="00162873"/>
    <w:rsid w:val="0016324C"/>
    <w:rsid w:val="001635CF"/>
    <w:rsid w:val="001639DF"/>
    <w:rsid w:val="00163F91"/>
    <w:rsid w:val="00164A3C"/>
    <w:rsid w:val="001653F4"/>
    <w:rsid w:val="0016598E"/>
    <w:rsid w:val="001661A9"/>
    <w:rsid w:val="001663CC"/>
    <w:rsid w:val="0016659F"/>
    <w:rsid w:val="001666CB"/>
    <w:rsid w:val="001679EA"/>
    <w:rsid w:val="00167A98"/>
    <w:rsid w:val="00170076"/>
    <w:rsid w:val="00170C57"/>
    <w:rsid w:val="00170C7A"/>
    <w:rsid w:val="001711CA"/>
    <w:rsid w:val="00171520"/>
    <w:rsid w:val="00171BCB"/>
    <w:rsid w:val="00172459"/>
    <w:rsid w:val="0017289F"/>
    <w:rsid w:val="00172E1E"/>
    <w:rsid w:val="00173100"/>
    <w:rsid w:val="001735D2"/>
    <w:rsid w:val="00173F87"/>
    <w:rsid w:val="00174251"/>
    <w:rsid w:val="00174862"/>
    <w:rsid w:val="00174B23"/>
    <w:rsid w:val="00175450"/>
    <w:rsid w:val="001757C8"/>
    <w:rsid w:val="0017590E"/>
    <w:rsid w:val="00175996"/>
    <w:rsid w:val="001769AA"/>
    <w:rsid w:val="00176F38"/>
    <w:rsid w:val="001774FF"/>
    <w:rsid w:val="0018024B"/>
    <w:rsid w:val="0018150B"/>
    <w:rsid w:val="0018297F"/>
    <w:rsid w:val="0018324A"/>
    <w:rsid w:val="00183956"/>
    <w:rsid w:val="001849AE"/>
    <w:rsid w:val="00185072"/>
    <w:rsid w:val="00185635"/>
    <w:rsid w:val="00186653"/>
    <w:rsid w:val="0018726D"/>
    <w:rsid w:val="001903F6"/>
    <w:rsid w:val="00190493"/>
    <w:rsid w:val="0019094F"/>
    <w:rsid w:val="00191CF4"/>
    <w:rsid w:val="001926ED"/>
    <w:rsid w:val="00193B2E"/>
    <w:rsid w:val="00193BB6"/>
    <w:rsid w:val="00194801"/>
    <w:rsid w:val="00194A20"/>
    <w:rsid w:val="00194A39"/>
    <w:rsid w:val="00195233"/>
    <w:rsid w:val="00195F3A"/>
    <w:rsid w:val="00196A90"/>
    <w:rsid w:val="001A0009"/>
    <w:rsid w:val="001A0287"/>
    <w:rsid w:val="001A4152"/>
    <w:rsid w:val="001A4200"/>
    <w:rsid w:val="001A429F"/>
    <w:rsid w:val="001A44B9"/>
    <w:rsid w:val="001A4E3E"/>
    <w:rsid w:val="001A52AD"/>
    <w:rsid w:val="001A6AB8"/>
    <w:rsid w:val="001A6DBE"/>
    <w:rsid w:val="001A741D"/>
    <w:rsid w:val="001B00F5"/>
    <w:rsid w:val="001B1D5A"/>
    <w:rsid w:val="001B32CE"/>
    <w:rsid w:val="001B36A2"/>
    <w:rsid w:val="001B3D9D"/>
    <w:rsid w:val="001B468C"/>
    <w:rsid w:val="001B4960"/>
    <w:rsid w:val="001B52ED"/>
    <w:rsid w:val="001B5FED"/>
    <w:rsid w:val="001B7D95"/>
    <w:rsid w:val="001C058E"/>
    <w:rsid w:val="001C1A75"/>
    <w:rsid w:val="001C2493"/>
    <w:rsid w:val="001C2D0E"/>
    <w:rsid w:val="001C4387"/>
    <w:rsid w:val="001C43B6"/>
    <w:rsid w:val="001C44AA"/>
    <w:rsid w:val="001C62E5"/>
    <w:rsid w:val="001C6F07"/>
    <w:rsid w:val="001C70A2"/>
    <w:rsid w:val="001C712A"/>
    <w:rsid w:val="001C7250"/>
    <w:rsid w:val="001C7597"/>
    <w:rsid w:val="001C7FC0"/>
    <w:rsid w:val="001D08C7"/>
    <w:rsid w:val="001D0C82"/>
    <w:rsid w:val="001D1E59"/>
    <w:rsid w:val="001D245C"/>
    <w:rsid w:val="001D3224"/>
    <w:rsid w:val="001D3795"/>
    <w:rsid w:val="001D3DCB"/>
    <w:rsid w:val="001D3E8A"/>
    <w:rsid w:val="001D41F8"/>
    <w:rsid w:val="001D4699"/>
    <w:rsid w:val="001D5179"/>
    <w:rsid w:val="001D5393"/>
    <w:rsid w:val="001D643E"/>
    <w:rsid w:val="001E1AEE"/>
    <w:rsid w:val="001E20E3"/>
    <w:rsid w:val="001E2C55"/>
    <w:rsid w:val="001E33E8"/>
    <w:rsid w:val="001E3789"/>
    <w:rsid w:val="001E48AE"/>
    <w:rsid w:val="001E4AA2"/>
    <w:rsid w:val="001E4AE7"/>
    <w:rsid w:val="001E4B85"/>
    <w:rsid w:val="001E5CA9"/>
    <w:rsid w:val="001E6B98"/>
    <w:rsid w:val="001E701F"/>
    <w:rsid w:val="001E78D3"/>
    <w:rsid w:val="001E79C7"/>
    <w:rsid w:val="001E7D36"/>
    <w:rsid w:val="001E7EB1"/>
    <w:rsid w:val="001E7EFA"/>
    <w:rsid w:val="001F2C07"/>
    <w:rsid w:val="001F3EE4"/>
    <w:rsid w:val="001F45E8"/>
    <w:rsid w:val="001F4777"/>
    <w:rsid w:val="001F55D1"/>
    <w:rsid w:val="001F76C3"/>
    <w:rsid w:val="001F76C7"/>
    <w:rsid w:val="001F7F57"/>
    <w:rsid w:val="0020013E"/>
    <w:rsid w:val="00200148"/>
    <w:rsid w:val="002002CF"/>
    <w:rsid w:val="002011C2"/>
    <w:rsid w:val="0020165D"/>
    <w:rsid w:val="00203690"/>
    <w:rsid w:val="00203B8F"/>
    <w:rsid w:val="00205064"/>
    <w:rsid w:val="00205666"/>
    <w:rsid w:val="00205A71"/>
    <w:rsid w:val="00205B21"/>
    <w:rsid w:val="00205FD8"/>
    <w:rsid w:val="00207BDA"/>
    <w:rsid w:val="00207FFB"/>
    <w:rsid w:val="002117D8"/>
    <w:rsid w:val="00212A51"/>
    <w:rsid w:val="00213A43"/>
    <w:rsid w:val="0021656F"/>
    <w:rsid w:val="00216636"/>
    <w:rsid w:val="00216AF0"/>
    <w:rsid w:val="00217A7E"/>
    <w:rsid w:val="0022079D"/>
    <w:rsid w:val="002207D7"/>
    <w:rsid w:val="002223DC"/>
    <w:rsid w:val="00222480"/>
    <w:rsid w:val="00223A2C"/>
    <w:rsid w:val="00224531"/>
    <w:rsid w:val="00224844"/>
    <w:rsid w:val="002278E4"/>
    <w:rsid w:val="00227F7B"/>
    <w:rsid w:val="00230488"/>
    <w:rsid w:val="00230974"/>
    <w:rsid w:val="0023121D"/>
    <w:rsid w:val="00231627"/>
    <w:rsid w:val="002317BB"/>
    <w:rsid w:val="0023182B"/>
    <w:rsid w:val="0023242C"/>
    <w:rsid w:val="002331E5"/>
    <w:rsid w:val="002335D4"/>
    <w:rsid w:val="002337EE"/>
    <w:rsid w:val="00233CD1"/>
    <w:rsid w:val="00233F84"/>
    <w:rsid w:val="002340C8"/>
    <w:rsid w:val="0023477A"/>
    <w:rsid w:val="00234C91"/>
    <w:rsid w:val="002353C2"/>
    <w:rsid w:val="0023582D"/>
    <w:rsid w:val="00235C75"/>
    <w:rsid w:val="00236EC4"/>
    <w:rsid w:val="00237119"/>
    <w:rsid w:val="00237230"/>
    <w:rsid w:val="00237F6F"/>
    <w:rsid w:val="002400CD"/>
    <w:rsid w:val="00240417"/>
    <w:rsid w:val="00240EFA"/>
    <w:rsid w:val="00244CE9"/>
    <w:rsid w:val="00245B77"/>
    <w:rsid w:val="00246728"/>
    <w:rsid w:val="00247983"/>
    <w:rsid w:val="00247C96"/>
    <w:rsid w:val="00247CB9"/>
    <w:rsid w:val="002504DD"/>
    <w:rsid w:val="00250630"/>
    <w:rsid w:val="0025134D"/>
    <w:rsid w:val="0025168B"/>
    <w:rsid w:val="0025283C"/>
    <w:rsid w:val="00252E13"/>
    <w:rsid w:val="00253A22"/>
    <w:rsid w:val="00253A2C"/>
    <w:rsid w:val="00253EF0"/>
    <w:rsid w:val="0025443B"/>
    <w:rsid w:val="00254599"/>
    <w:rsid w:val="00255050"/>
    <w:rsid w:val="00255529"/>
    <w:rsid w:val="00255FB3"/>
    <w:rsid w:val="00256819"/>
    <w:rsid w:val="00256FBC"/>
    <w:rsid w:val="002576BD"/>
    <w:rsid w:val="00257CC7"/>
    <w:rsid w:val="00257DF4"/>
    <w:rsid w:val="00260141"/>
    <w:rsid w:val="002604F0"/>
    <w:rsid w:val="00262AB4"/>
    <w:rsid w:val="00262FB0"/>
    <w:rsid w:val="002632B0"/>
    <w:rsid w:val="00264949"/>
    <w:rsid w:val="00264C02"/>
    <w:rsid w:val="00264DF4"/>
    <w:rsid w:val="002655B5"/>
    <w:rsid w:val="002678DE"/>
    <w:rsid w:val="00267AD6"/>
    <w:rsid w:val="00267AF2"/>
    <w:rsid w:val="00272058"/>
    <w:rsid w:val="002722D2"/>
    <w:rsid w:val="002724AA"/>
    <w:rsid w:val="002725B9"/>
    <w:rsid w:val="00273305"/>
    <w:rsid w:val="00274BF3"/>
    <w:rsid w:val="002757AD"/>
    <w:rsid w:val="00275A7D"/>
    <w:rsid w:val="00276FFD"/>
    <w:rsid w:val="002802B8"/>
    <w:rsid w:val="0028032E"/>
    <w:rsid w:val="00280388"/>
    <w:rsid w:val="00280E12"/>
    <w:rsid w:val="00281C5F"/>
    <w:rsid w:val="002821A4"/>
    <w:rsid w:val="00282481"/>
    <w:rsid w:val="00282CEA"/>
    <w:rsid w:val="002836AE"/>
    <w:rsid w:val="00283AF4"/>
    <w:rsid w:val="00284FE3"/>
    <w:rsid w:val="002854A5"/>
    <w:rsid w:val="00285767"/>
    <w:rsid w:val="0028586B"/>
    <w:rsid w:val="0028591E"/>
    <w:rsid w:val="00285EB9"/>
    <w:rsid w:val="00286282"/>
    <w:rsid w:val="0029065B"/>
    <w:rsid w:val="00290D31"/>
    <w:rsid w:val="00291FB0"/>
    <w:rsid w:val="0029214C"/>
    <w:rsid w:val="00292BF0"/>
    <w:rsid w:val="0029346D"/>
    <w:rsid w:val="002934B0"/>
    <w:rsid w:val="002936F4"/>
    <w:rsid w:val="00294722"/>
    <w:rsid w:val="0029504B"/>
    <w:rsid w:val="0029522A"/>
    <w:rsid w:val="002952C6"/>
    <w:rsid w:val="002954A0"/>
    <w:rsid w:val="00295588"/>
    <w:rsid w:val="00295669"/>
    <w:rsid w:val="002956EF"/>
    <w:rsid w:val="002964BA"/>
    <w:rsid w:val="002964E1"/>
    <w:rsid w:val="00296776"/>
    <w:rsid w:val="00296B78"/>
    <w:rsid w:val="0029739F"/>
    <w:rsid w:val="00297B44"/>
    <w:rsid w:val="002A01E7"/>
    <w:rsid w:val="002A0619"/>
    <w:rsid w:val="002A0C59"/>
    <w:rsid w:val="002A2679"/>
    <w:rsid w:val="002A3031"/>
    <w:rsid w:val="002A3B88"/>
    <w:rsid w:val="002A46C9"/>
    <w:rsid w:val="002A6D1A"/>
    <w:rsid w:val="002B1082"/>
    <w:rsid w:val="002B11C4"/>
    <w:rsid w:val="002B1697"/>
    <w:rsid w:val="002B177A"/>
    <w:rsid w:val="002B2587"/>
    <w:rsid w:val="002B2773"/>
    <w:rsid w:val="002B3E27"/>
    <w:rsid w:val="002B4E8C"/>
    <w:rsid w:val="002B53F3"/>
    <w:rsid w:val="002B5971"/>
    <w:rsid w:val="002B6835"/>
    <w:rsid w:val="002B6A4A"/>
    <w:rsid w:val="002B6C23"/>
    <w:rsid w:val="002B7122"/>
    <w:rsid w:val="002B76C7"/>
    <w:rsid w:val="002C00ED"/>
    <w:rsid w:val="002C2441"/>
    <w:rsid w:val="002C290C"/>
    <w:rsid w:val="002C309B"/>
    <w:rsid w:val="002C3C23"/>
    <w:rsid w:val="002C3EC7"/>
    <w:rsid w:val="002C3F7D"/>
    <w:rsid w:val="002C4EAF"/>
    <w:rsid w:val="002C4F86"/>
    <w:rsid w:val="002C5493"/>
    <w:rsid w:val="002D00D7"/>
    <w:rsid w:val="002D0556"/>
    <w:rsid w:val="002D1A04"/>
    <w:rsid w:val="002D1A7A"/>
    <w:rsid w:val="002D1DBA"/>
    <w:rsid w:val="002D2F34"/>
    <w:rsid w:val="002D3036"/>
    <w:rsid w:val="002D4356"/>
    <w:rsid w:val="002D45B2"/>
    <w:rsid w:val="002D6E89"/>
    <w:rsid w:val="002D750D"/>
    <w:rsid w:val="002D7602"/>
    <w:rsid w:val="002D78D5"/>
    <w:rsid w:val="002D7A77"/>
    <w:rsid w:val="002D7C9D"/>
    <w:rsid w:val="002E0A5E"/>
    <w:rsid w:val="002E0DA5"/>
    <w:rsid w:val="002E0ED5"/>
    <w:rsid w:val="002E1AEC"/>
    <w:rsid w:val="002E26DF"/>
    <w:rsid w:val="002E3BB0"/>
    <w:rsid w:val="002E425C"/>
    <w:rsid w:val="002E4641"/>
    <w:rsid w:val="002E4B79"/>
    <w:rsid w:val="002E4CE4"/>
    <w:rsid w:val="002E4EE7"/>
    <w:rsid w:val="002E5246"/>
    <w:rsid w:val="002E6046"/>
    <w:rsid w:val="002E6320"/>
    <w:rsid w:val="002E6DD6"/>
    <w:rsid w:val="002E6E1B"/>
    <w:rsid w:val="002E6F9B"/>
    <w:rsid w:val="002E7021"/>
    <w:rsid w:val="002E718F"/>
    <w:rsid w:val="002E7A70"/>
    <w:rsid w:val="002E7F06"/>
    <w:rsid w:val="002F0168"/>
    <w:rsid w:val="002F1ED5"/>
    <w:rsid w:val="002F2B71"/>
    <w:rsid w:val="002F32D7"/>
    <w:rsid w:val="002F535A"/>
    <w:rsid w:val="002F5A27"/>
    <w:rsid w:val="002F6799"/>
    <w:rsid w:val="002F6E76"/>
    <w:rsid w:val="002F6FF2"/>
    <w:rsid w:val="002F73A4"/>
    <w:rsid w:val="002F7414"/>
    <w:rsid w:val="002F7D7A"/>
    <w:rsid w:val="00300061"/>
    <w:rsid w:val="00300D3F"/>
    <w:rsid w:val="0030114F"/>
    <w:rsid w:val="00302563"/>
    <w:rsid w:val="00303B39"/>
    <w:rsid w:val="003040C2"/>
    <w:rsid w:val="00304279"/>
    <w:rsid w:val="00304377"/>
    <w:rsid w:val="003044FB"/>
    <w:rsid w:val="00304B0D"/>
    <w:rsid w:val="00304C3B"/>
    <w:rsid w:val="00305058"/>
    <w:rsid w:val="003050C9"/>
    <w:rsid w:val="00305721"/>
    <w:rsid w:val="00305771"/>
    <w:rsid w:val="0030624C"/>
    <w:rsid w:val="0030680F"/>
    <w:rsid w:val="0030699C"/>
    <w:rsid w:val="00307DF1"/>
    <w:rsid w:val="00310A6C"/>
    <w:rsid w:val="00310A79"/>
    <w:rsid w:val="00310B1E"/>
    <w:rsid w:val="00310DA5"/>
    <w:rsid w:val="00310E68"/>
    <w:rsid w:val="003115D7"/>
    <w:rsid w:val="00311960"/>
    <w:rsid w:val="00311FE9"/>
    <w:rsid w:val="003122A3"/>
    <w:rsid w:val="003122AF"/>
    <w:rsid w:val="00313CAC"/>
    <w:rsid w:val="00313DF1"/>
    <w:rsid w:val="003143C4"/>
    <w:rsid w:val="00314623"/>
    <w:rsid w:val="00314FB0"/>
    <w:rsid w:val="003159BB"/>
    <w:rsid w:val="0031681E"/>
    <w:rsid w:val="0031739C"/>
    <w:rsid w:val="00320083"/>
    <w:rsid w:val="003201FF"/>
    <w:rsid w:val="00321DF6"/>
    <w:rsid w:val="00323394"/>
    <w:rsid w:val="00323B37"/>
    <w:rsid w:val="003244FB"/>
    <w:rsid w:val="003245FA"/>
    <w:rsid w:val="00324DC9"/>
    <w:rsid w:val="00324EE8"/>
    <w:rsid w:val="0032626B"/>
    <w:rsid w:val="003274F5"/>
    <w:rsid w:val="00330AA0"/>
    <w:rsid w:val="0033217A"/>
    <w:rsid w:val="00332EDF"/>
    <w:rsid w:val="003338C7"/>
    <w:rsid w:val="003338F1"/>
    <w:rsid w:val="00333D13"/>
    <w:rsid w:val="00333D93"/>
    <w:rsid w:val="00334383"/>
    <w:rsid w:val="00334BF9"/>
    <w:rsid w:val="00335765"/>
    <w:rsid w:val="0033694C"/>
    <w:rsid w:val="00337285"/>
    <w:rsid w:val="00337427"/>
    <w:rsid w:val="003379F7"/>
    <w:rsid w:val="0034216D"/>
    <w:rsid w:val="00342685"/>
    <w:rsid w:val="00342C7E"/>
    <w:rsid w:val="00345522"/>
    <w:rsid w:val="00345B4A"/>
    <w:rsid w:val="0034684A"/>
    <w:rsid w:val="00347585"/>
    <w:rsid w:val="00347B17"/>
    <w:rsid w:val="00350A4A"/>
    <w:rsid w:val="00352EA9"/>
    <w:rsid w:val="00353646"/>
    <w:rsid w:val="0035409A"/>
    <w:rsid w:val="003540A9"/>
    <w:rsid w:val="00354781"/>
    <w:rsid w:val="0035486B"/>
    <w:rsid w:val="0035492C"/>
    <w:rsid w:val="0035543B"/>
    <w:rsid w:val="00357170"/>
    <w:rsid w:val="00361E69"/>
    <w:rsid w:val="00363074"/>
    <w:rsid w:val="003639B1"/>
    <w:rsid w:val="00363C49"/>
    <w:rsid w:val="00363D0A"/>
    <w:rsid w:val="00363DD6"/>
    <w:rsid w:val="00364104"/>
    <w:rsid w:val="0036571B"/>
    <w:rsid w:val="00365BC3"/>
    <w:rsid w:val="00367019"/>
    <w:rsid w:val="0036757A"/>
    <w:rsid w:val="00370316"/>
    <w:rsid w:val="00370CF1"/>
    <w:rsid w:val="00372298"/>
    <w:rsid w:val="00372379"/>
    <w:rsid w:val="00372437"/>
    <w:rsid w:val="00372BDE"/>
    <w:rsid w:val="00372D0E"/>
    <w:rsid w:val="0037364B"/>
    <w:rsid w:val="003746D8"/>
    <w:rsid w:val="00375A78"/>
    <w:rsid w:val="00375DA9"/>
    <w:rsid w:val="003761A5"/>
    <w:rsid w:val="00376D82"/>
    <w:rsid w:val="00377A3B"/>
    <w:rsid w:val="00377E66"/>
    <w:rsid w:val="00380ED2"/>
    <w:rsid w:val="00381CA7"/>
    <w:rsid w:val="003829A7"/>
    <w:rsid w:val="00382DD2"/>
    <w:rsid w:val="00383D19"/>
    <w:rsid w:val="0038456F"/>
    <w:rsid w:val="00384692"/>
    <w:rsid w:val="0038526D"/>
    <w:rsid w:val="003852C8"/>
    <w:rsid w:val="003856AA"/>
    <w:rsid w:val="003863A4"/>
    <w:rsid w:val="00387339"/>
    <w:rsid w:val="003873D5"/>
    <w:rsid w:val="00387C86"/>
    <w:rsid w:val="00390ADC"/>
    <w:rsid w:val="00390C11"/>
    <w:rsid w:val="00390F75"/>
    <w:rsid w:val="00390FAD"/>
    <w:rsid w:val="00391A89"/>
    <w:rsid w:val="00391DCC"/>
    <w:rsid w:val="00393639"/>
    <w:rsid w:val="003937A0"/>
    <w:rsid w:val="00393970"/>
    <w:rsid w:val="00393987"/>
    <w:rsid w:val="003946EA"/>
    <w:rsid w:val="003947E9"/>
    <w:rsid w:val="0039496A"/>
    <w:rsid w:val="00394AFC"/>
    <w:rsid w:val="00394CA2"/>
    <w:rsid w:val="00395639"/>
    <w:rsid w:val="0039580F"/>
    <w:rsid w:val="00396EA9"/>
    <w:rsid w:val="0039785E"/>
    <w:rsid w:val="003A089A"/>
    <w:rsid w:val="003A16B5"/>
    <w:rsid w:val="003A1D90"/>
    <w:rsid w:val="003A25A9"/>
    <w:rsid w:val="003A2EF5"/>
    <w:rsid w:val="003A4762"/>
    <w:rsid w:val="003A641E"/>
    <w:rsid w:val="003A6958"/>
    <w:rsid w:val="003A7662"/>
    <w:rsid w:val="003A7B38"/>
    <w:rsid w:val="003B0022"/>
    <w:rsid w:val="003B0743"/>
    <w:rsid w:val="003B0CAA"/>
    <w:rsid w:val="003B1F5B"/>
    <w:rsid w:val="003B269B"/>
    <w:rsid w:val="003B3277"/>
    <w:rsid w:val="003B3BC1"/>
    <w:rsid w:val="003B4966"/>
    <w:rsid w:val="003B53CF"/>
    <w:rsid w:val="003B5797"/>
    <w:rsid w:val="003B5C7F"/>
    <w:rsid w:val="003B5DB2"/>
    <w:rsid w:val="003B5ED2"/>
    <w:rsid w:val="003B6378"/>
    <w:rsid w:val="003B73F6"/>
    <w:rsid w:val="003C1945"/>
    <w:rsid w:val="003C1A21"/>
    <w:rsid w:val="003C2350"/>
    <w:rsid w:val="003C26A3"/>
    <w:rsid w:val="003C2B1A"/>
    <w:rsid w:val="003C2F02"/>
    <w:rsid w:val="003C309F"/>
    <w:rsid w:val="003C4378"/>
    <w:rsid w:val="003C47F3"/>
    <w:rsid w:val="003C4A38"/>
    <w:rsid w:val="003C56D2"/>
    <w:rsid w:val="003C5B6F"/>
    <w:rsid w:val="003C5CF0"/>
    <w:rsid w:val="003C7292"/>
    <w:rsid w:val="003C7A58"/>
    <w:rsid w:val="003D189C"/>
    <w:rsid w:val="003D1C0C"/>
    <w:rsid w:val="003D2396"/>
    <w:rsid w:val="003D2A3D"/>
    <w:rsid w:val="003D30CC"/>
    <w:rsid w:val="003D32A3"/>
    <w:rsid w:val="003D3779"/>
    <w:rsid w:val="003D37A2"/>
    <w:rsid w:val="003D394E"/>
    <w:rsid w:val="003D40B3"/>
    <w:rsid w:val="003D44F2"/>
    <w:rsid w:val="003D500C"/>
    <w:rsid w:val="003D5823"/>
    <w:rsid w:val="003D6B15"/>
    <w:rsid w:val="003E1DF0"/>
    <w:rsid w:val="003E1E8A"/>
    <w:rsid w:val="003E20DF"/>
    <w:rsid w:val="003E2F73"/>
    <w:rsid w:val="003E34F4"/>
    <w:rsid w:val="003E3687"/>
    <w:rsid w:val="003E4D66"/>
    <w:rsid w:val="003E4E8B"/>
    <w:rsid w:val="003E56B2"/>
    <w:rsid w:val="003E61EE"/>
    <w:rsid w:val="003E7FDA"/>
    <w:rsid w:val="003F0EE8"/>
    <w:rsid w:val="003F134F"/>
    <w:rsid w:val="003F2DFE"/>
    <w:rsid w:val="003F419D"/>
    <w:rsid w:val="003F64DE"/>
    <w:rsid w:val="003F6EC9"/>
    <w:rsid w:val="003F76E8"/>
    <w:rsid w:val="003F77F5"/>
    <w:rsid w:val="00400044"/>
    <w:rsid w:val="0040047B"/>
    <w:rsid w:val="00400703"/>
    <w:rsid w:val="00401940"/>
    <w:rsid w:val="004021C0"/>
    <w:rsid w:val="00402943"/>
    <w:rsid w:val="0040359D"/>
    <w:rsid w:val="00403A85"/>
    <w:rsid w:val="00403CCA"/>
    <w:rsid w:val="00404941"/>
    <w:rsid w:val="004054E9"/>
    <w:rsid w:val="00405ABE"/>
    <w:rsid w:val="00407BEB"/>
    <w:rsid w:val="004106A8"/>
    <w:rsid w:val="0041075E"/>
    <w:rsid w:val="004109BC"/>
    <w:rsid w:val="00411EEC"/>
    <w:rsid w:val="00412203"/>
    <w:rsid w:val="00412489"/>
    <w:rsid w:val="0041282A"/>
    <w:rsid w:val="00414367"/>
    <w:rsid w:val="004158CC"/>
    <w:rsid w:val="00415DBC"/>
    <w:rsid w:val="00416000"/>
    <w:rsid w:val="00416246"/>
    <w:rsid w:val="00420677"/>
    <w:rsid w:val="00420C38"/>
    <w:rsid w:val="00421CFE"/>
    <w:rsid w:val="0042331A"/>
    <w:rsid w:val="00424832"/>
    <w:rsid w:val="00424BDD"/>
    <w:rsid w:val="004251FF"/>
    <w:rsid w:val="00426383"/>
    <w:rsid w:val="0042689D"/>
    <w:rsid w:val="004269DC"/>
    <w:rsid w:val="00430204"/>
    <w:rsid w:val="0043037F"/>
    <w:rsid w:val="00430502"/>
    <w:rsid w:val="0043064D"/>
    <w:rsid w:val="00430772"/>
    <w:rsid w:val="00430926"/>
    <w:rsid w:val="004314A7"/>
    <w:rsid w:val="00431DA0"/>
    <w:rsid w:val="00432B35"/>
    <w:rsid w:val="00433D98"/>
    <w:rsid w:val="00433F19"/>
    <w:rsid w:val="004342DA"/>
    <w:rsid w:val="0043501A"/>
    <w:rsid w:val="00435446"/>
    <w:rsid w:val="00435D37"/>
    <w:rsid w:val="00435E08"/>
    <w:rsid w:val="00436164"/>
    <w:rsid w:val="004361DC"/>
    <w:rsid w:val="00436500"/>
    <w:rsid w:val="00436C19"/>
    <w:rsid w:val="00437389"/>
    <w:rsid w:val="00440584"/>
    <w:rsid w:val="004405AF"/>
    <w:rsid w:val="00440F0F"/>
    <w:rsid w:val="00442866"/>
    <w:rsid w:val="00442933"/>
    <w:rsid w:val="00442B14"/>
    <w:rsid w:val="00443921"/>
    <w:rsid w:val="00443B8C"/>
    <w:rsid w:val="004441AD"/>
    <w:rsid w:val="004442ED"/>
    <w:rsid w:val="00445468"/>
    <w:rsid w:val="00445BB7"/>
    <w:rsid w:val="004466E2"/>
    <w:rsid w:val="004503EF"/>
    <w:rsid w:val="00450693"/>
    <w:rsid w:val="004513A0"/>
    <w:rsid w:val="004519F7"/>
    <w:rsid w:val="00452092"/>
    <w:rsid w:val="004524DA"/>
    <w:rsid w:val="00452D26"/>
    <w:rsid w:val="00452D3A"/>
    <w:rsid w:val="00452EDF"/>
    <w:rsid w:val="00453301"/>
    <w:rsid w:val="00453770"/>
    <w:rsid w:val="00453B8F"/>
    <w:rsid w:val="004541FE"/>
    <w:rsid w:val="00454B38"/>
    <w:rsid w:val="00454E5E"/>
    <w:rsid w:val="004552F9"/>
    <w:rsid w:val="00456452"/>
    <w:rsid w:val="00457F32"/>
    <w:rsid w:val="004605E3"/>
    <w:rsid w:val="00462006"/>
    <w:rsid w:val="004631CD"/>
    <w:rsid w:val="00463642"/>
    <w:rsid w:val="004640C9"/>
    <w:rsid w:val="00464144"/>
    <w:rsid w:val="00464AA6"/>
    <w:rsid w:val="00465D55"/>
    <w:rsid w:val="004700B0"/>
    <w:rsid w:val="004700BA"/>
    <w:rsid w:val="00470C0D"/>
    <w:rsid w:val="00470C22"/>
    <w:rsid w:val="00470D32"/>
    <w:rsid w:val="00472189"/>
    <w:rsid w:val="0047303A"/>
    <w:rsid w:val="004737E5"/>
    <w:rsid w:val="004739FC"/>
    <w:rsid w:val="00475009"/>
    <w:rsid w:val="00475047"/>
    <w:rsid w:val="00476A0A"/>
    <w:rsid w:val="00477BB8"/>
    <w:rsid w:val="0048052A"/>
    <w:rsid w:val="00481499"/>
    <w:rsid w:val="004822C1"/>
    <w:rsid w:val="004826A7"/>
    <w:rsid w:val="00482904"/>
    <w:rsid w:val="00482B1E"/>
    <w:rsid w:val="004836CF"/>
    <w:rsid w:val="0048397C"/>
    <w:rsid w:val="00483CA0"/>
    <w:rsid w:val="00484687"/>
    <w:rsid w:val="004856CE"/>
    <w:rsid w:val="00485877"/>
    <w:rsid w:val="0048624F"/>
    <w:rsid w:val="004863E7"/>
    <w:rsid w:val="004866BE"/>
    <w:rsid w:val="00486BFB"/>
    <w:rsid w:val="004878D8"/>
    <w:rsid w:val="004914DE"/>
    <w:rsid w:val="00492226"/>
    <w:rsid w:val="00492C70"/>
    <w:rsid w:val="00492FD0"/>
    <w:rsid w:val="00494B47"/>
    <w:rsid w:val="00494DC7"/>
    <w:rsid w:val="00495371"/>
    <w:rsid w:val="00495FF6"/>
    <w:rsid w:val="00496759"/>
    <w:rsid w:val="00496B1E"/>
    <w:rsid w:val="00496EA2"/>
    <w:rsid w:val="00497245"/>
    <w:rsid w:val="00497368"/>
    <w:rsid w:val="004974F5"/>
    <w:rsid w:val="00497D98"/>
    <w:rsid w:val="00497DED"/>
    <w:rsid w:val="00497E40"/>
    <w:rsid w:val="004A0319"/>
    <w:rsid w:val="004A06C4"/>
    <w:rsid w:val="004A0D13"/>
    <w:rsid w:val="004A0FE9"/>
    <w:rsid w:val="004A277A"/>
    <w:rsid w:val="004A38F2"/>
    <w:rsid w:val="004A3ECD"/>
    <w:rsid w:val="004A4B5C"/>
    <w:rsid w:val="004A5898"/>
    <w:rsid w:val="004A58DF"/>
    <w:rsid w:val="004A5BD3"/>
    <w:rsid w:val="004A661A"/>
    <w:rsid w:val="004A7945"/>
    <w:rsid w:val="004B11EB"/>
    <w:rsid w:val="004B1DBF"/>
    <w:rsid w:val="004B1FF7"/>
    <w:rsid w:val="004B2150"/>
    <w:rsid w:val="004B224B"/>
    <w:rsid w:val="004B29E7"/>
    <w:rsid w:val="004B2D0F"/>
    <w:rsid w:val="004B2F4D"/>
    <w:rsid w:val="004B38F4"/>
    <w:rsid w:val="004B5585"/>
    <w:rsid w:val="004B633C"/>
    <w:rsid w:val="004B6D9B"/>
    <w:rsid w:val="004B6DA0"/>
    <w:rsid w:val="004B7903"/>
    <w:rsid w:val="004B7EE9"/>
    <w:rsid w:val="004C0338"/>
    <w:rsid w:val="004C06AF"/>
    <w:rsid w:val="004C089D"/>
    <w:rsid w:val="004C08C1"/>
    <w:rsid w:val="004C2402"/>
    <w:rsid w:val="004C261E"/>
    <w:rsid w:val="004C3471"/>
    <w:rsid w:val="004C594D"/>
    <w:rsid w:val="004C630F"/>
    <w:rsid w:val="004C6680"/>
    <w:rsid w:val="004C6BCB"/>
    <w:rsid w:val="004C719F"/>
    <w:rsid w:val="004C742D"/>
    <w:rsid w:val="004C7B9A"/>
    <w:rsid w:val="004C7C54"/>
    <w:rsid w:val="004C7FA0"/>
    <w:rsid w:val="004D0C1F"/>
    <w:rsid w:val="004D14BA"/>
    <w:rsid w:val="004D2319"/>
    <w:rsid w:val="004D317F"/>
    <w:rsid w:val="004D35FB"/>
    <w:rsid w:val="004D3BEC"/>
    <w:rsid w:val="004D5D1F"/>
    <w:rsid w:val="004D5E9D"/>
    <w:rsid w:val="004D61E9"/>
    <w:rsid w:val="004D67E7"/>
    <w:rsid w:val="004D6F24"/>
    <w:rsid w:val="004D71B2"/>
    <w:rsid w:val="004E11AB"/>
    <w:rsid w:val="004E183E"/>
    <w:rsid w:val="004E1BB7"/>
    <w:rsid w:val="004E34C6"/>
    <w:rsid w:val="004E375A"/>
    <w:rsid w:val="004E3C29"/>
    <w:rsid w:val="004E3D9D"/>
    <w:rsid w:val="004E48BF"/>
    <w:rsid w:val="004E5661"/>
    <w:rsid w:val="004E58F9"/>
    <w:rsid w:val="004E5EF1"/>
    <w:rsid w:val="004E73E4"/>
    <w:rsid w:val="004E7EFB"/>
    <w:rsid w:val="004F00C1"/>
    <w:rsid w:val="004F07D3"/>
    <w:rsid w:val="004F0FEC"/>
    <w:rsid w:val="004F100D"/>
    <w:rsid w:val="004F1FBD"/>
    <w:rsid w:val="004F2095"/>
    <w:rsid w:val="004F22F4"/>
    <w:rsid w:val="004F3EF5"/>
    <w:rsid w:val="004F4ADC"/>
    <w:rsid w:val="004F4D3D"/>
    <w:rsid w:val="004F4D91"/>
    <w:rsid w:val="004F599B"/>
    <w:rsid w:val="004F66EB"/>
    <w:rsid w:val="004F674C"/>
    <w:rsid w:val="004F7B63"/>
    <w:rsid w:val="004F7CFF"/>
    <w:rsid w:val="004F7FD6"/>
    <w:rsid w:val="0050031A"/>
    <w:rsid w:val="00502DC7"/>
    <w:rsid w:val="00502E29"/>
    <w:rsid w:val="00503A9B"/>
    <w:rsid w:val="00504353"/>
    <w:rsid w:val="00504540"/>
    <w:rsid w:val="005046F7"/>
    <w:rsid w:val="00504A7E"/>
    <w:rsid w:val="00504EF2"/>
    <w:rsid w:val="00504F66"/>
    <w:rsid w:val="00505D7E"/>
    <w:rsid w:val="00505F58"/>
    <w:rsid w:val="00506167"/>
    <w:rsid w:val="00506401"/>
    <w:rsid w:val="00506C88"/>
    <w:rsid w:val="00506DF4"/>
    <w:rsid w:val="005074C5"/>
    <w:rsid w:val="005076D7"/>
    <w:rsid w:val="005103C3"/>
    <w:rsid w:val="00511805"/>
    <w:rsid w:val="0051420D"/>
    <w:rsid w:val="005156E4"/>
    <w:rsid w:val="005201DB"/>
    <w:rsid w:val="00520BFE"/>
    <w:rsid w:val="00520CB0"/>
    <w:rsid w:val="005215C8"/>
    <w:rsid w:val="00521C97"/>
    <w:rsid w:val="00521CE0"/>
    <w:rsid w:val="00522052"/>
    <w:rsid w:val="00523563"/>
    <w:rsid w:val="00524472"/>
    <w:rsid w:val="005250F7"/>
    <w:rsid w:val="005257CE"/>
    <w:rsid w:val="0052685C"/>
    <w:rsid w:val="005273E2"/>
    <w:rsid w:val="00527534"/>
    <w:rsid w:val="00527E9A"/>
    <w:rsid w:val="00530BCF"/>
    <w:rsid w:val="00530CA3"/>
    <w:rsid w:val="00531EB9"/>
    <w:rsid w:val="005321F0"/>
    <w:rsid w:val="005322B4"/>
    <w:rsid w:val="00532F8F"/>
    <w:rsid w:val="00533000"/>
    <w:rsid w:val="00533274"/>
    <w:rsid w:val="005343BE"/>
    <w:rsid w:val="0053527C"/>
    <w:rsid w:val="00535B82"/>
    <w:rsid w:val="00536503"/>
    <w:rsid w:val="005369A3"/>
    <w:rsid w:val="005370E4"/>
    <w:rsid w:val="005371A2"/>
    <w:rsid w:val="00537987"/>
    <w:rsid w:val="00537AFC"/>
    <w:rsid w:val="005402AD"/>
    <w:rsid w:val="00540A17"/>
    <w:rsid w:val="00543360"/>
    <w:rsid w:val="005439B9"/>
    <w:rsid w:val="00543DA4"/>
    <w:rsid w:val="0054549F"/>
    <w:rsid w:val="00545CBB"/>
    <w:rsid w:val="005476A5"/>
    <w:rsid w:val="00547DB2"/>
    <w:rsid w:val="0055011F"/>
    <w:rsid w:val="00550918"/>
    <w:rsid w:val="00550A0C"/>
    <w:rsid w:val="00550AF6"/>
    <w:rsid w:val="00550C18"/>
    <w:rsid w:val="00550F7E"/>
    <w:rsid w:val="00551BD8"/>
    <w:rsid w:val="0055203F"/>
    <w:rsid w:val="005527DD"/>
    <w:rsid w:val="005528B2"/>
    <w:rsid w:val="005530D8"/>
    <w:rsid w:val="005536AC"/>
    <w:rsid w:val="00554CF3"/>
    <w:rsid w:val="00554F34"/>
    <w:rsid w:val="00556080"/>
    <w:rsid w:val="005563AE"/>
    <w:rsid w:val="00557895"/>
    <w:rsid w:val="00560222"/>
    <w:rsid w:val="0056113E"/>
    <w:rsid w:val="005613A2"/>
    <w:rsid w:val="00562047"/>
    <w:rsid w:val="00562275"/>
    <w:rsid w:val="00562763"/>
    <w:rsid w:val="0056374F"/>
    <w:rsid w:val="00564551"/>
    <w:rsid w:val="00564895"/>
    <w:rsid w:val="005649BC"/>
    <w:rsid w:val="005651D0"/>
    <w:rsid w:val="0056711E"/>
    <w:rsid w:val="00567840"/>
    <w:rsid w:val="00567ACC"/>
    <w:rsid w:val="0057038A"/>
    <w:rsid w:val="00570897"/>
    <w:rsid w:val="005714AF"/>
    <w:rsid w:val="00571ADC"/>
    <w:rsid w:val="005721C2"/>
    <w:rsid w:val="00572559"/>
    <w:rsid w:val="00572C2E"/>
    <w:rsid w:val="005730F3"/>
    <w:rsid w:val="0057377D"/>
    <w:rsid w:val="00573782"/>
    <w:rsid w:val="005740A7"/>
    <w:rsid w:val="00575F1B"/>
    <w:rsid w:val="005768E8"/>
    <w:rsid w:val="00576F5C"/>
    <w:rsid w:val="005771C6"/>
    <w:rsid w:val="0057795C"/>
    <w:rsid w:val="00577968"/>
    <w:rsid w:val="005803CF"/>
    <w:rsid w:val="00580948"/>
    <w:rsid w:val="00580D08"/>
    <w:rsid w:val="00580F70"/>
    <w:rsid w:val="00581A55"/>
    <w:rsid w:val="0058272C"/>
    <w:rsid w:val="00582CA0"/>
    <w:rsid w:val="00582F91"/>
    <w:rsid w:val="00583677"/>
    <w:rsid w:val="00583AFF"/>
    <w:rsid w:val="00583F00"/>
    <w:rsid w:val="00584123"/>
    <w:rsid w:val="0058604C"/>
    <w:rsid w:val="005869C0"/>
    <w:rsid w:val="00587BF1"/>
    <w:rsid w:val="005902D4"/>
    <w:rsid w:val="00590D3D"/>
    <w:rsid w:val="0059118E"/>
    <w:rsid w:val="005912FA"/>
    <w:rsid w:val="00591533"/>
    <w:rsid w:val="005925DB"/>
    <w:rsid w:val="00592B80"/>
    <w:rsid w:val="0059338A"/>
    <w:rsid w:val="00593A7B"/>
    <w:rsid w:val="00593BB1"/>
    <w:rsid w:val="005941B2"/>
    <w:rsid w:val="005941C1"/>
    <w:rsid w:val="00595198"/>
    <w:rsid w:val="0059547A"/>
    <w:rsid w:val="0059611F"/>
    <w:rsid w:val="005A030A"/>
    <w:rsid w:val="005A078F"/>
    <w:rsid w:val="005A1A21"/>
    <w:rsid w:val="005A24B1"/>
    <w:rsid w:val="005A26B2"/>
    <w:rsid w:val="005A36C3"/>
    <w:rsid w:val="005A3EA1"/>
    <w:rsid w:val="005A4677"/>
    <w:rsid w:val="005A486F"/>
    <w:rsid w:val="005A5152"/>
    <w:rsid w:val="005A7942"/>
    <w:rsid w:val="005A7C90"/>
    <w:rsid w:val="005A7FA3"/>
    <w:rsid w:val="005B10F1"/>
    <w:rsid w:val="005B1131"/>
    <w:rsid w:val="005B1DDF"/>
    <w:rsid w:val="005B2214"/>
    <w:rsid w:val="005B26CC"/>
    <w:rsid w:val="005B280E"/>
    <w:rsid w:val="005B314B"/>
    <w:rsid w:val="005B3154"/>
    <w:rsid w:val="005B3223"/>
    <w:rsid w:val="005B38BE"/>
    <w:rsid w:val="005B48A4"/>
    <w:rsid w:val="005B4CDF"/>
    <w:rsid w:val="005B4EF6"/>
    <w:rsid w:val="005B5420"/>
    <w:rsid w:val="005B6097"/>
    <w:rsid w:val="005B6C5B"/>
    <w:rsid w:val="005B7687"/>
    <w:rsid w:val="005B7FF6"/>
    <w:rsid w:val="005C0A84"/>
    <w:rsid w:val="005C1227"/>
    <w:rsid w:val="005C15D2"/>
    <w:rsid w:val="005C2A9B"/>
    <w:rsid w:val="005C2D04"/>
    <w:rsid w:val="005C32BD"/>
    <w:rsid w:val="005C581B"/>
    <w:rsid w:val="005C5A72"/>
    <w:rsid w:val="005C6FEA"/>
    <w:rsid w:val="005C7454"/>
    <w:rsid w:val="005D1912"/>
    <w:rsid w:val="005D1F05"/>
    <w:rsid w:val="005D1F95"/>
    <w:rsid w:val="005D218C"/>
    <w:rsid w:val="005D3167"/>
    <w:rsid w:val="005D366E"/>
    <w:rsid w:val="005D3C21"/>
    <w:rsid w:val="005D416A"/>
    <w:rsid w:val="005D48AF"/>
    <w:rsid w:val="005D5FC9"/>
    <w:rsid w:val="005D6E0E"/>
    <w:rsid w:val="005D6F6B"/>
    <w:rsid w:val="005D70F7"/>
    <w:rsid w:val="005D794C"/>
    <w:rsid w:val="005D7BBE"/>
    <w:rsid w:val="005D7BDB"/>
    <w:rsid w:val="005E044A"/>
    <w:rsid w:val="005E0666"/>
    <w:rsid w:val="005E0783"/>
    <w:rsid w:val="005E247C"/>
    <w:rsid w:val="005E28C3"/>
    <w:rsid w:val="005E2BA4"/>
    <w:rsid w:val="005E2E05"/>
    <w:rsid w:val="005E2E90"/>
    <w:rsid w:val="005E30CB"/>
    <w:rsid w:val="005E33D7"/>
    <w:rsid w:val="005E4D8A"/>
    <w:rsid w:val="005E5536"/>
    <w:rsid w:val="005E5A12"/>
    <w:rsid w:val="005E5ADA"/>
    <w:rsid w:val="005E5D9E"/>
    <w:rsid w:val="005E7671"/>
    <w:rsid w:val="005E76EF"/>
    <w:rsid w:val="005E7737"/>
    <w:rsid w:val="005E7C58"/>
    <w:rsid w:val="005F2148"/>
    <w:rsid w:val="005F2584"/>
    <w:rsid w:val="005F3B22"/>
    <w:rsid w:val="005F3DB3"/>
    <w:rsid w:val="005F4ABD"/>
    <w:rsid w:val="005F4C2F"/>
    <w:rsid w:val="005F581F"/>
    <w:rsid w:val="005F6156"/>
    <w:rsid w:val="005F63D8"/>
    <w:rsid w:val="005F6EDE"/>
    <w:rsid w:val="005F700C"/>
    <w:rsid w:val="005F7C6D"/>
    <w:rsid w:val="006023D0"/>
    <w:rsid w:val="006027C2"/>
    <w:rsid w:val="006037AE"/>
    <w:rsid w:val="00603874"/>
    <w:rsid w:val="00603EDF"/>
    <w:rsid w:val="00603F5C"/>
    <w:rsid w:val="006052AF"/>
    <w:rsid w:val="00605575"/>
    <w:rsid w:val="00605CBF"/>
    <w:rsid w:val="00606996"/>
    <w:rsid w:val="00606ED6"/>
    <w:rsid w:val="00606F96"/>
    <w:rsid w:val="006079E7"/>
    <w:rsid w:val="00610350"/>
    <w:rsid w:val="00610399"/>
    <w:rsid w:val="00611E9E"/>
    <w:rsid w:val="006120A2"/>
    <w:rsid w:val="0061287D"/>
    <w:rsid w:val="00612BDB"/>
    <w:rsid w:val="00613E40"/>
    <w:rsid w:val="006142F8"/>
    <w:rsid w:val="0061518B"/>
    <w:rsid w:val="00615486"/>
    <w:rsid w:val="006156BE"/>
    <w:rsid w:val="006179DF"/>
    <w:rsid w:val="00617C10"/>
    <w:rsid w:val="00620189"/>
    <w:rsid w:val="006202F9"/>
    <w:rsid w:val="0062031E"/>
    <w:rsid w:val="0062036D"/>
    <w:rsid w:val="00620AF0"/>
    <w:rsid w:val="00620B4E"/>
    <w:rsid w:val="00621888"/>
    <w:rsid w:val="00621CFA"/>
    <w:rsid w:val="00622471"/>
    <w:rsid w:val="0062297A"/>
    <w:rsid w:val="00624B16"/>
    <w:rsid w:val="006268F7"/>
    <w:rsid w:val="00626DEC"/>
    <w:rsid w:val="00627508"/>
    <w:rsid w:val="0062778E"/>
    <w:rsid w:val="0063047E"/>
    <w:rsid w:val="006310C0"/>
    <w:rsid w:val="00631CEA"/>
    <w:rsid w:val="00632C4A"/>
    <w:rsid w:val="00633377"/>
    <w:rsid w:val="006335C5"/>
    <w:rsid w:val="00633CF4"/>
    <w:rsid w:val="006342F9"/>
    <w:rsid w:val="0063460B"/>
    <w:rsid w:val="006354B0"/>
    <w:rsid w:val="0063552A"/>
    <w:rsid w:val="00635FAF"/>
    <w:rsid w:val="00637D0F"/>
    <w:rsid w:val="00637E10"/>
    <w:rsid w:val="00640006"/>
    <w:rsid w:val="006402C2"/>
    <w:rsid w:val="006406C7"/>
    <w:rsid w:val="006406CD"/>
    <w:rsid w:val="00640922"/>
    <w:rsid w:val="00640C88"/>
    <w:rsid w:val="00640D98"/>
    <w:rsid w:val="0064164F"/>
    <w:rsid w:val="006426CF"/>
    <w:rsid w:val="0064334C"/>
    <w:rsid w:val="006435B5"/>
    <w:rsid w:val="00643E35"/>
    <w:rsid w:val="00643F5A"/>
    <w:rsid w:val="00646B5F"/>
    <w:rsid w:val="00646FF7"/>
    <w:rsid w:val="00647209"/>
    <w:rsid w:val="006474D5"/>
    <w:rsid w:val="00647A93"/>
    <w:rsid w:val="00647C8A"/>
    <w:rsid w:val="00650365"/>
    <w:rsid w:val="00650E15"/>
    <w:rsid w:val="00651595"/>
    <w:rsid w:val="00651B18"/>
    <w:rsid w:val="006529F5"/>
    <w:rsid w:val="00652ACF"/>
    <w:rsid w:val="006530A2"/>
    <w:rsid w:val="006536C7"/>
    <w:rsid w:val="00653F30"/>
    <w:rsid w:val="00653FA4"/>
    <w:rsid w:val="0065467C"/>
    <w:rsid w:val="006548BE"/>
    <w:rsid w:val="006553A4"/>
    <w:rsid w:val="00655414"/>
    <w:rsid w:val="006565E3"/>
    <w:rsid w:val="00656DF5"/>
    <w:rsid w:val="00657046"/>
    <w:rsid w:val="00660805"/>
    <w:rsid w:val="00660A9D"/>
    <w:rsid w:val="00661B51"/>
    <w:rsid w:val="00662685"/>
    <w:rsid w:val="006628D4"/>
    <w:rsid w:val="006630F9"/>
    <w:rsid w:val="00663165"/>
    <w:rsid w:val="00664071"/>
    <w:rsid w:val="006640AD"/>
    <w:rsid w:val="0066451D"/>
    <w:rsid w:val="00665188"/>
    <w:rsid w:val="00666177"/>
    <w:rsid w:val="0066661E"/>
    <w:rsid w:val="006673C3"/>
    <w:rsid w:val="00667AA9"/>
    <w:rsid w:val="00671277"/>
    <w:rsid w:val="006714C0"/>
    <w:rsid w:val="006735BE"/>
    <w:rsid w:val="00673801"/>
    <w:rsid w:val="00673C82"/>
    <w:rsid w:val="006742FC"/>
    <w:rsid w:val="00675472"/>
    <w:rsid w:val="00675FA4"/>
    <w:rsid w:val="00677595"/>
    <w:rsid w:val="006776C1"/>
    <w:rsid w:val="00677A0F"/>
    <w:rsid w:val="006805C0"/>
    <w:rsid w:val="006813FE"/>
    <w:rsid w:val="0068249A"/>
    <w:rsid w:val="00682B55"/>
    <w:rsid w:val="006842D7"/>
    <w:rsid w:val="00684DA0"/>
    <w:rsid w:val="00684DAC"/>
    <w:rsid w:val="0068519A"/>
    <w:rsid w:val="00685218"/>
    <w:rsid w:val="006856BF"/>
    <w:rsid w:val="006863C8"/>
    <w:rsid w:val="0068756F"/>
    <w:rsid w:val="00687BBF"/>
    <w:rsid w:val="006917C7"/>
    <w:rsid w:val="00692DC6"/>
    <w:rsid w:val="00693BF4"/>
    <w:rsid w:val="00693D37"/>
    <w:rsid w:val="00694FFF"/>
    <w:rsid w:val="006954A4"/>
    <w:rsid w:val="00695731"/>
    <w:rsid w:val="00695FEB"/>
    <w:rsid w:val="006964BE"/>
    <w:rsid w:val="00696F7A"/>
    <w:rsid w:val="00697A5F"/>
    <w:rsid w:val="00697E26"/>
    <w:rsid w:val="00697F49"/>
    <w:rsid w:val="006A02B4"/>
    <w:rsid w:val="006A03F1"/>
    <w:rsid w:val="006A0969"/>
    <w:rsid w:val="006A0FB8"/>
    <w:rsid w:val="006A151F"/>
    <w:rsid w:val="006A2DFA"/>
    <w:rsid w:val="006A456B"/>
    <w:rsid w:val="006A471B"/>
    <w:rsid w:val="006A68FA"/>
    <w:rsid w:val="006A69BD"/>
    <w:rsid w:val="006A69E8"/>
    <w:rsid w:val="006A774A"/>
    <w:rsid w:val="006A7BCA"/>
    <w:rsid w:val="006A7E4B"/>
    <w:rsid w:val="006B021F"/>
    <w:rsid w:val="006B08B0"/>
    <w:rsid w:val="006B0A14"/>
    <w:rsid w:val="006B0A82"/>
    <w:rsid w:val="006B10BF"/>
    <w:rsid w:val="006B17D1"/>
    <w:rsid w:val="006B1CFE"/>
    <w:rsid w:val="006B247A"/>
    <w:rsid w:val="006B25ED"/>
    <w:rsid w:val="006B28B2"/>
    <w:rsid w:val="006B290B"/>
    <w:rsid w:val="006B2AED"/>
    <w:rsid w:val="006B2CC4"/>
    <w:rsid w:val="006B3169"/>
    <w:rsid w:val="006B3235"/>
    <w:rsid w:val="006B37E4"/>
    <w:rsid w:val="006B3B2B"/>
    <w:rsid w:val="006B4A7E"/>
    <w:rsid w:val="006B4C2E"/>
    <w:rsid w:val="006B4E87"/>
    <w:rsid w:val="006B50A3"/>
    <w:rsid w:val="006B54B0"/>
    <w:rsid w:val="006B609B"/>
    <w:rsid w:val="006B64A5"/>
    <w:rsid w:val="006B6AC3"/>
    <w:rsid w:val="006B73FB"/>
    <w:rsid w:val="006B7815"/>
    <w:rsid w:val="006B7B20"/>
    <w:rsid w:val="006B7EDC"/>
    <w:rsid w:val="006C07F3"/>
    <w:rsid w:val="006C08F9"/>
    <w:rsid w:val="006C091C"/>
    <w:rsid w:val="006C0C44"/>
    <w:rsid w:val="006C1581"/>
    <w:rsid w:val="006C30EC"/>
    <w:rsid w:val="006C43BD"/>
    <w:rsid w:val="006C46B8"/>
    <w:rsid w:val="006C4F04"/>
    <w:rsid w:val="006C5EBB"/>
    <w:rsid w:val="006C660F"/>
    <w:rsid w:val="006C6F3B"/>
    <w:rsid w:val="006C72AF"/>
    <w:rsid w:val="006D1698"/>
    <w:rsid w:val="006D34E4"/>
    <w:rsid w:val="006D415F"/>
    <w:rsid w:val="006D49DC"/>
    <w:rsid w:val="006D5759"/>
    <w:rsid w:val="006D58CF"/>
    <w:rsid w:val="006D6055"/>
    <w:rsid w:val="006D63B4"/>
    <w:rsid w:val="006D676E"/>
    <w:rsid w:val="006D6910"/>
    <w:rsid w:val="006D6914"/>
    <w:rsid w:val="006D7F32"/>
    <w:rsid w:val="006E0D2F"/>
    <w:rsid w:val="006E0F0C"/>
    <w:rsid w:val="006E154F"/>
    <w:rsid w:val="006E1839"/>
    <w:rsid w:val="006E19B3"/>
    <w:rsid w:val="006E1A58"/>
    <w:rsid w:val="006E2EF9"/>
    <w:rsid w:val="006E55D2"/>
    <w:rsid w:val="006E57E0"/>
    <w:rsid w:val="006E5AAF"/>
    <w:rsid w:val="006E64D4"/>
    <w:rsid w:val="006E7258"/>
    <w:rsid w:val="006E7B24"/>
    <w:rsid w:val="006F1137"/>
    <w:rsid w:val="006F1C45"/>
    <w:rsid w:val="006F1D2D"/>
    <w:rsid w:val="006F219B"/>
    <w:rsid w:val="006F222F"/>
    <w:rsid w:val="006F22CD"/>
    <w:rsid w:val="006F275C"/>
    <w:rsid w:val="006F282A"/>
    <w:rsid w:val="006F33A3"/>
    <w:rsid w:val="006F3F86"/>
    <w:rsid w:val="006F4139"/>
    <w:rsid w:val="006F461A"/>
    <w:rsid w:val="006F47D5"/>
    <w:rsid w:val="006F4A5B"/>
    <w:rsid w:val="006F4B39"/>
    <w:rsid w:val="006F4C95"/>
    <w:rsid w:val="006F4EA5"/>
    <w:rsid w:val="006F5093"/>
    <w:rsid w:val="006F6555"/>
    <w:rsid w:val="006F69E9"/>
    <w:rsid w:val="006F75BD"/>
    <w:rsid w:val="006F7BEB"/>
    <w:rsid w:val="007005DE"/>
    <w:rsid w:val="00700F63"/>
    <w:rsid w:val="00701719"/>
    <w:rsid w:val="00703003"/>
    <w:rsid w:val="00703449"/>
    <w:rsid w:val="00703C80"/>
    <w:rsid w:val="0070508F"/>
    <w:rsid w:val="00706E56"/>
    <w:rsid w:val="00706E8C"/>
    <w:rsid w:val="007076DE"/>
    <w:rsid w:val="00710E7C"/>
    <w:rsid w:val="007117BD"/>
    <w:rsid w:val="007117F5"/>
    <w:rsid w:val="00711D77"/>
    <w:rsid w:val="00712156"/>
    <w:rsid w:val="00712F3C"/>
    <w:rsid w:val="00713E84"/>
    <w:rsid w:val="00714061"/>
    <w:rsid w:val="0071421A"/>
    <w:rsid w:val="0071446D"/>
    <w:rsid w:val="007146A0"/>
    <w:rsid w:val="00714BA7"/>
    <w:rsid w:val="00714BE1"/>
    <w:rsid w:val="00714E2F"/>
    <w:rsid w:val="0071585C"/>
    <w:rsid w:val="00715A1E"/>
    <w:rsid w:val="00715DFA"/>
    <w:rsid w:val="00716491"/>
    <w:rsid w:val="007203B9"/>
    <w:rsid w:val="00723595"/>
    <w:rsid w:val="007236FE"/>
    <w:rsid w:val="00723F28"/>
    <w:rsid w:val="00723FFE"/>
    <w:rsid w:val="00724BD8"/>
    <w:rsid w:val="00724D09"/>
    <w:rsid w:val="00725051"/>
    <w:rsid w:val="00725A42"/>
    <w:rsid w:val="00725EFB"/>
    <w:rsid w:val="007265D0"/>
    <w:rsid w:val="00726FF5"/>
    <w:rsid w:val="0072707A"/>
    <w:rsid w:val="0072785A"/>
    <w:rsid w:val="007302C6"/>
    <w:rsid w:val="0073088D"/>
    <w:rsid w:val="00730976"/>
    <w:rsid w:val="00730DF3"/>
    <w:rsid w:val="0073135A"/>
    <w:rsid w:val="00731698"/>
    <w:rsid w:val="00731CC4"/>
    <w:rsid w:val="00731DC1"/>
    <w:rsid w:val="0073206A"/>
    <w:rsid w:val="0073247E"/>
    <w:rsid w:val="0073372A"/>
    <w:rsid w:val="00733ACF"/>
    <w:rsid w:val="00733F66"/>
    <w:rsid w:val="00733F8B"/>
    <w:rsid w:val="0073441A"/>
    <w:rsid w:val="00734BA5"/>
    <w:rsid w:val="00734DD2"/>
    <w:rsid w:val="007353EA"/>
    <w:rsid w:val="00735AA3"/>
    <w:rsid w:val="00735C2A"/>
    <w:rsid w:val="0073679B"/>
    <w:rsid w:val="00737459"/>
    <w:rsid w:val="00737C5A"/>
    <w:rsid w:val="00737FE2"/>
    <w:rsid w:val="0074017B"/>
    <w:rsid w:val="00740505"/>
    <w:rsid w:val="0074099D"/>
    <w:rsid w:val="007409FD"/>
    <w:rsid w:val="007414EE"/>
    <w:rsid w:val="0074168F"/>
    <w:rsid w:val="00741C91"/>
    <w:rsid w:val="00742502"/>
    <w:rsid w:val="00743BAD"/>
    <w:rsid w:val="00743C31"/>
    <w:rsid w:val="00744008"/>
    <w:rsid w:val="0074408B"/>
    <w:rsid w:val="00744740"/>
    <w:rsid w:val="00744DEF"/>
    <w:rsid w:val="00745371"/>
    <w:rsid w:val="007458BA"/>
    <w:rsid w:val="0074677F"/>
    <w:rsid w:val="00746815"/>
    <w:rsid w:val="00746A20"/>
    <w:rsid w:val="007472E5"/>
    <w:rsid w:val="00751A98"/>
    <w:rsid w:val="00753050"/>
    <w:rsid w:val="00753230"/>
    <w:rsid w:val="0075339F"/>
    <w:rsid w:val="007537EC"/>
    <w:rsid w:val="00754D9D"/>
    <w:rsid w:val="007573DF"/>
    <w:rsid w:val="0076001E"/>
    <w:rsid w:val="007601D6"/>
    <w:rsid w:val="007605DE"/>
    <w:rsid w:val="007617FF"/>
    <w:rsid w:val="00762AB7"/>
    <w:rsid w:val="0076489D"/>
    <w:rsid w:val="00764AFB"/>
    <w:rsid w:val="00766944"/>
    <w:rsid w:val="00766CCA"/>
    <w:rsid w:val="00766CE7"/>
    <w:rsid w:val="0076758E"/>
    <w:rsid w:val="0076761A"/>
    <w:rsid w:val="007707BF"/>
    <w:rsid w:val="00772CFC"/>
    <w:rsid w:val="0077318D"/>
    <w:rsid w:val="00773504"/>
    <w:rsid w:val="00774654"/>
    <w:rsid w:val="00774D41"/>
    <w:rsid w:val="00775265"/>
    <w:rsid w:val="007758C9"/>
    <w:rsid w:val="00775EF3"/>
    <w:rsid w:val="00777DF0"/>
    <w:rsid w:val="00780A73"/>
    <w:rsid w:val="00782840"/>
    <w:rsid w:val="007833AC"/>
    <w:rsid w:val="00783410"/>
    <w:rsid w:val="007837D7"/>
    <w:rsid w:val="00783E24"/>
    <w:rsid w:val="0078408F"/>
    <w:rsid w:val="007841DF"/>
    <w:rsid w:val="007842E8"/>
    <w:rsid w:val="00784438"/>
    <w:rsid w:val="00784A72"/>
    <w:rsid w:val="007857A9"/>
    <w:rsid w:val="00785B84"/>
    <w:rsid w:val="0078608B"/>
    <w:rsid w:val="00786CF4"/>
    <w:rsid w:val="00787058"/>
    <w:rsid w:val="007911A2"/>
    <w:rsid w:val="0079485E"/>
    <w:rsid w:val="007975B4"/>
    <w:rsid w:val="007A080D"/>
    <w:rsid w:val="007A113C"/>
    <w:rsid w:val="007A129A"/>
    <w:rsid w:val="007A19AD"/>
    <w:rsid w:val="007A240E"/>
    <w:rsid w:val="007A246C"/>
    <w:rsid w:val="007A26CD"/>
    <w:rsid w:val="007A4323"/>
    <w:rsid w:val="007A57F1"/>
    <w:rsid w:val="007A60BB"/>
    <w:rsid w:val="007A6749"/>
    <w:rsid w:val="007A753E"/>
    <w:rsid w:val="007A7998"/>
    <w:rsid w:val="007B136D"/>
    <w:rsid w:val="007B33D1"/>
    <w:rsid w:val="007B3483"/>
    <w:rsid w:val="007B394C"/>
    <w:rsid w:val="007B39AD"/>
    <w:rsid w:val="007B3E13"/>
    <w:rsid w:val="007B4B5F"/>
    <w:rsid w:val="007B5060"/>
    <w:rsid w:val="007B566F"/>
    <w:rsid w:val="007B5862"/>
    <w:rsid w:val="007B6EC4"/>
    <w:rsid w:val="007B7237"/>
    <w:rsid w:val="007B772E"/>
    <w:rsid w:val="007C047D"/>
    <w:rsid w:val="007C07F0"/>
    <w:rsid w:val="007C0F4B"/>
    <w:rsid w:val="007C2BA4"/>
    <w:rsid w:val="007C2E9B"/>
    <w:rsid w:val="007C31C1"/>
    <w:rsid w:val="007C3BCB"/>
    <w:rsid w:val="007C4A61"/>
    <w:rsid w:val="007C4AA5"/>
    <w:rsid w:val="007C4C5B"/>
    <w:rsid w:val="007C5669"/>
    <w:rsid w:val="007C5B29"/>
    <w:rsid w:val="007C5D68"/>
    <w:rsid w:val="007C6132"/>
    <w:rsid w:val="007C7659"/>
    <w:rsid w:val="007C7AAC"/>
    <w:rsid w:val="007D0E45"/>
    <w:rsid w:val="007D1875"/>
    <w:rsid w:val="007D1DDC"/>
    <w:rsid w:val="007D33A6"/>
    <w:rsid w:val="007D408F"/>
    <w:rsid w:val="007D41A0"/>
    <w:rsid w:val="007D4400"/>
    <w:rsid w:val="007D4F34"/>
    <w:rsid w:val="007D55FB"/>
    <w:rsid w:val="007D5788"/>
    <w:rsid w:val="007D578F"/>
    <w:rsid w:val="007D5975"/>
    <w:rsid w:val="007D5977"/>
    <w:rsid w:val="007D5AFD"/>
    <w:rsid w:val="007D676D"/>
    <w:rsid w:val="007D7092"/>
    <w:rsid w:val="007D797E"/>
    <w:rsid w:val="007E0088"/>
    <w:rsid w:val="007E0958"/>
    <w:rsid w:val="007E2586"/>
    <w:rsid w:val="007E2730"/>
    <w:rsid w:val="007E3721"/>
    <w:rsid w:val="007E37FE"/>
    <w:rsid w:val="007E3BEB"/>
    <w:rsid w:val="007E43D1"/>
    <w:rsid w:val="007E597E"/>
    <w:rsid w:val="007E5A9C"/>
    <w:rsid w:val="007E77E8"/>
    <w:rsid w:val="007E7B9B"/>
    <w:rsid w:val="007F0B7E"/>
    <w:rsid w:val="007F0BD8"/>
    <w:rsid w:val="007F0DC7"/>
    <w:rsid w:val="007F2EEE"/>
    <w:rsid w:val="007F30C9"/>
    <w:rsid w:val="007F5927"/>
    <w:rsid w:val="007F76E6"/>
    <w:rsid w:val="0080049A"/>
    <w:rsid w:val="00800DE4"/>
    <w:rsid w:val="008020D0"/>
    <w:rsid w:val="008021F0"/>
    <w:rsid w:val="00802763"/>
    <w:rsid w:val="00802C2A"/>
    <w:rsid w:val="00802D9F"/>
    <w:rsid w:val="00803D09"/>
    <w:rsid w:val="008045FA"/>
    <w:rsid w:val="00804B17"/>
    <w:rsid w:val="00804E6E"/>
    <w:rsid w:val="00805A81"/>
    <w:rsid w:val="0080681C"/>
    <w:rsid w:val="008071F8"/>
    <w:rsid w:val="00807310"/>
    <w:rsid w:val="00807E78"/>
    <w:rsid w:val="008103C0"/>
    <w:rsid w:val="00810AC9"/>
    <w:rsid w:val="00810C13"/>
    <w:rsid w:val="00811235"/>
    <w:rsid w:val="008120FD"/>
    <w:rsid w:val="00813BC8"/>
    <w:rsid w:val="00813EC9"/>
    <w:rsid w:val="00813ECA"/>
    <w:rsid w:val="00815806"/>
    <w:rsid w:val="00816B2E"/>
    <w:rsid w:val="00816FB0"/>
    <w:rsid w:val="00817CBA"/>
    <w:rsid w:val="008200D4"/>
    <w:rsid w:val="00820ADE"/>
    <w:rsid w:val="00820B80"/>
    <w:rsid w:val="00821873"/>
    <w:rsid w:val="008226E8"/>
    <w:rsid w:val="00823036"/>
    <w:rsid w:val="008233AB"/>
    <w:rsid w:val="00823644"/>
    <w:rsid w:val="008237C0"/>
    <w:rsid w:val="0082398E"/>
    <w:rsid w:val="00823E19"/>
    <w:rsid w:val="008245EC"/>
    <w:rsid w:val="0082483A"/>
    <w:rsid w:val="00824989"/>
    <w:rsid w:val="00824CD5"/>
    <w:rsid w:val="008250C6"/>
    <w:rsid w:val="00825E4B"/>
    <w:rsid w:val="00827321"/>
    <w:rsid w:val="00827AC2"/>
    <w:rsid w:val="0083166A"/>
    <w:rsid w:val="00831E6A"/>
    <w:rsid w:val="008323B0"/>
    <w:rsid w:val="00832FBF"/>
    <w:rsid w:val="008330BF"/>
    <w:rsid w:val="0083339C"/>
    <w:rsid w:val="00834934"/>
    <w:rsid w:val="008354A0"/>
    <w:rsid w:val="00835A9E"/>
    <w:rsid w:val="00837917"/>
    <w:rsid w:val="008379BF"/>
    <w:rsid w:val="00837B13"/>
    <w:rsid w:val="00840008"/>
    <w:rsid w:val="008403D8"/>
    <w:rsid w:val="00842DBE"/>
    <w:rsid w:val="00843B06"/>
    <w:rsid w:val="008444E8"/>
    <w:rsid w:val="00844713"/>
    <w:rsid w:val="00844C0A"/>
    <w:rsid w:val="0084530B"/>
    <w:rsid w:val="00845E0A"/>
    <w:rsid w:val="0084620B"/>
    <w:rsid w:val="00846BA5"/>
    <w:rsid w:val="00846C17"/>
    <w:rsid w:val="00846F6A"/>
    <w:rsid w:val="008476AF"/>
    <w:rsid w:val="00847A24"/>
    <w:rsid w:val="00850720"/>
    <w:rsid w:val="0085166C"/>
    <w:rsid w:val="00851AC3"/>
    <w:rsid w:val="00851AC4"/>
    <w:rsid w:val="0085736E"/>
    <w:rsid w:val="008578D6"/>
    <w:rsid w:val="0086052B"/>
    <w:rsid w:val="00862CFC"/>
    <w:rsid w:val="00862FF2"/>
    <w:rsid w:val="00863DA4"/>
    <w:rsid w:val="0086429D"/>
    <w:rsid w:val="00864B71"/>
    <w:rsid w:val="00865DBE"/>
    <w:rsid w:val="00866330"/>
    <w:rsid w:val="0086649A"/>
    <w:rsid w:val="00866874"/>
    <w:rsid w:val="0086694B"/>
    <w:rsid w:val="00866B47"/>
    <w:rsid w:val="00867399"/>
    <w:rsid w:val="008700FC"/>
    <w:rsid w:val="00870E56"/>
    <w:rsid w:val="008731EB"/>
    <w:rsid w:val="00876100"/>
    <w:rsid w:val="008764BC"/>
    <w:rsid w:val="00876AC2"/>
    <w:rsid w:val="00876E97"/>
    <w:rsid w:val="00876F48"/>
    <w:rsid w:val="0088190E"/>
    <w:rsid w:val="008820E5"/>
    <w:rsid w:val="008823E8"/>
    <w:rsid w:val="00882BBE"/>
    <w:rsid w:val="008831AA"/>
    <w:rsid w:val="00883744"/>
    <w:rsid w:val="0088397C"/>
    <w:rsid w:val="00883DB1"/>
    <w:rsid w:val="008843A3"/>
    <w:rsid w:val="008861A1"/>
    <w:rsid w:val="00887D7A"/>
    <w:rsid w:val="00887FF2"/>
    <w:rsid w:val="008908A1"/>
    <w:rsid w:val="00890C07"/>
    <w:rsid w:val="00891651"/>
    <w:rsid w:val="00891674"/>
    <w:rsid w:val="0089182C"/>
    <w:rsid w:val="00891D97"/>
    <w:rsid w:val="00892059"/>
    <w:rsid w:val="00893182"/>
    <w:rsid w:val="00893743"/>
    <w:rsid w:val="00894446"/>
    <w:rsid w:val="00894835"/>
    <w:rsid w:val="00895AB3"/>
    <w:rsid w:val="008969C6"/>
    <w:rsid w:val="00896DC2"/>
    <w:rsid w:val="00897438"/>
    <w:rsid w:val="00897A6D"/>
    <w:rsid w:val="008A01CA"/>
    <w:rsid w:val="008A03A8"/>
    <w:rsid w:val="008A4B3D"/>
    <w:rsid w:val="008A52B4"/>
    <w:rsid w:val="008A5584"/>
    <w:rsid w:val="008A572F"/>
    <w:rsid w:val="008A5A3C"/>
    <w:rsid w:val="008A6A75"/>
    <w:rsid w:val="008A7127"/>
    <w:rsid w:val="008A7323"/>
    <w:rsid w:val="008A73FE"/>
    <w:rsid w:val="008B0A92"/>
    <w:rsid w:val="008B1D52"/>
    <w:rsid w:val="008B226E"/>
    <w:rsid w:val="008B2E1C"/>
    <w:rsid w:val="008B36D7"/>
    <w:rsid w:val="008B36EA"/>
    <w:rsid w:val="008B460F"/>
    <w:rsid w:val="008B4A0E"/>
    <w:rsid w:val="008B4DA9"/>
    <w:rsid w:val="008B5405"/>
    <w:rsid w:val="008B5DE9"/>
    <w:rsid w:val="008B675B"/>
    <w:rsid w:val="008B68B0"/>
    <w:rsid w:val="008C00B0"/>
    <w:rsid w:val="008C025E"/>
    <w:rsid w:val="008C063D"/>
    <w:rsid w:val="008C11F2"/>
    <w:rsid w:val="008C1E8F"/>
    <w:rsid w:val="008C316E"/>
    <w:rsid w:val="008C3875"/>
    <w:rsid w:val="008C420B"/>
    <w:rsid w:val="008C5840"/>
    <w:rsid w:val="008C5AD4"/>
    <w:rsid w:val="008C6102"/>
    <w:rsid w:val="008C6241"/>
    <w:rsid w:val="008C7AEF"/>
    <w:rsid w:val="008D016A"/>
    <w:rsid w:val="008D08A0"/>
    <w:rsid w:val="008D0E8E"/>
    <w:rsid w:val="008D16C9"/>
    <w:rsid w:val="008D206E"/>
    <w:rsid w:val="008D21D5"/>
    <w:rsid w:val="008D24B4"/>
    <w:rsid w:val="008D2895"/>
    <w:rsid w:val="008D2CB3"/>
    <w:rsid w:val="008D3B68"/>
    <w:rsid w:val="008D4F2A"/>
    <w:rsid w:val="008D5989"/>
    <w:rsid w:val="008D5C93"/>
    <w:rsid w:val="008D5DBA"/>
    <w:rsid w:val="008E0640"/>
    <w:rsid w:val="008E0F97"/>
    <w:rsid w:val="008E2804"/>
    <w:rsid w:val="008E3724"/>
    <w:rsid w:val="008E442C"/>
    <w:rsid w:val="008E460B"/>
    <w:rsid w:val="008E46BC"/>
    <w:rsid w:val="008E484E"/>
    <w:rsid w:val="008E4961"/>
    <w:rsid w:val="008E530A"/>
    <w:rsid w:val="008E5B59"/>
    <w:rsid w:val="008E6246"/>
    <w:rsid w:val="008E6F90"/>
    <w:rsid w:val="008E7261"/>
    <w:rsid w:val="008E78DA"/>
    <w:rsid w:val="008E7B69"/>
    <w:rsid w:val="008F06AC"/>
    <w:rsid w:val="008F0D55"/>
    <w:rsid w:val="008F0DB3"/>
    <w:rsid w:val="008F1055"/>
    <w:rsid w:val="008F10A5"/>
    <w:rsid w:val="008F1BCF"/>
    <w:rsid w:val="008F2300"/>
    <w:rsid w:val="008F2B7D"/>
    <w:rsid w:val="008F3467"/>
    <w:rsid w:val="008F4D92"/>
    <w:rsid w:val="008F522B"/>
    <w:rsid w:val="008F5F3E"/>
    <w:rsid w:val="008F623D"/>
    <w:rsid w:val="008F7117"/>
    <w:rsid w:val="008F78E2"/>
    <w:rsid w:val="0090038A"/>
    <w:rsid w:val="009003CC"/>
    <w:rsid w:val="009010C0"/>
    <w:rsid w:val="00901562"/>
    <w:rsid w:val="009019C5"/>
    <w:rsid w:val="009019D7"/>
    <w:rsid w:val="00902345"/>
    <w:rsid w:val="009025C8"/>
    <w:rsid w:val="00902B70"/>
    <w:rsid w:val="0090350F"/>
    <w:rsid w:val="0090525A"/>
    <w:rsid w:val="009057F7"/>
    <w:rsid w:val="0090589E"/>
    <w:rsid w:val="00905A8A"/>
    <w:rsid w:val="00905CAF"/>
    <w:rsid w:val="00906401"/>
    <w:rsid w:val="00910618"/>
    <w:rsid w:val="00910876"/>
    <w:rsid w:val="00910DFC"/>
    <w:rsid w:val="00910FBA"/>
    <w:rsid w:val="009113E1"/>
    <w:rsid w:val="009113EA"/>
    <w:rsid w:val="0091175C"/>
    <w:rsid w:val="0091192B"/>
    <w:rsid w:val="00911DF1"/>
    <w:rsid w:val="00912E9B"/>
    <w:rsid w:val="0091339E"/>
    <w:rsid w:val="00914853"/>
    <w:rsid w:val="00914D49"/>
    <w:rsid w:val="0091550E"/>
    <w:rsid w:val="00915F67"/>
    <w:rsid w:val="00920041"/>
    <w:rsid w:val="009202AB"/>
    <w:rsid w:val="009203B1"/>
    <w:rsid w:val="00920B99"/>
    <w:rsid w:val="009210B7"/>
    <w:rsid w:val="00922087"/>
    <w:rsid w:val="009220DE"/>
    <w:rsid w:val="00922873"/>
    <w:rsid w:val="0092403E"/>
    <w:rsid w:val="00925355"/>
    <w:rsid w:val="00926067"/>
    <w:rsid w:val="00926463"/>
    <w:rsid w:val="009265B0"/>
    <w:rsid w:val="00926817"/>
    <w:rsid w:val="00926ADF"/>
    <w:rsid w:val="00926BB6"/>
    <w:rsid w:val="00930307"/>
    <w:rsid w:val="00930564"/>
    <w:rsid w:val="009306F2"/>
    <w:rsid w:val="00930E55"/>
    <w:rsid w:val="0093129A"/>
    <w:rsid w:val="0093157A"/>
    <w:rsid w:val="0093208D"/>
    <w:rsid w:val="0093225D"/>
    <w:rsid w:val="00932F61"/>
    <w:rsid w:val="00933928"/>
    <w:rsid w:val="009350AA"/>
    <w:rsid w:val="00935252"/>
    <w:rsid w:val="009353C0"/>
    <w:rsid w:val="00935608"/>
    <w:rsid w:val="00935F31"/>
    <w:rsid w:val="00936686"/>
    <w:rsid w:val="00936B53"/>
    <w:rsid w:val="00936BDD"/>
    <w:rsid w:val="009378A0"/>
    <w:rsid w:val="00940C96"/>
    <w:rsid w:val="00940F25"/>
    <w:rsid w:val="00941B00"/>
    <w:rsid w:val="00941BDD"/>
    <w:rsid w:val="00943667"/>
    <w:rsid w:val="00943A30"/>
    <w:rsid w:val="0094418C"/>
    <w:rsid w:val="00945497"/>
    <w:rsid w:val="00945AC2"/>
    <w:rsid w:val="00946AB1"/>
    <w:rsid w:val="00946FDC"/>
    <w:rsid w:val="009479E3"/>
    <w:rsid w:val="009513FC"/>
    <w:rsid w:val="009517FC"/>
    <w:rsid w:val="00951BF9"/>
    <w:rsid w:val="009525D4"/>
    <w:rsid w:val="00952EB9"/>
    <w:rsid w:val="009530E3"/>
    <w:rsid w:val="0095358D"/>
    <w:rsid w:val="009538F9"/>
    <w:rsid w:val="00953E91"/>
    <w:rsid w:val="0095586A"/>
    <w:rsid w:val="00956982"/>
    <w:rsid w:val="009569AB"/>
    <w:rsid w:val="00956E5D"/>
    <w:rsid w:val="009571F7"/>
    <w:rsid w:val="009603B5"/>
    <w:rsid w:val="0096184F"/>
    <w:rsid w:val="00961AB8"/>
    <w:rsid w:val="009620DF"/>
    <w:rsid w:val="00962984"/>
    <w:rsid w:val="00962D3A"/>
    <w:rsid w:val="009642C5"/>
    <w:rsid w:val="009663D8"/>
    <w:rsid w:val="0096661F"/>
    <w:rsid w:val="0096695C"/>
    <w:rsid w:val="00966B34"/>
    <w:rsid w:val="009672D3"/>
    <w:rsid w:val="0097000A"/>
    <w:rsid w:val="00970134"/>
    <w:rsid w:val="009701E4"/>
    <w:rsid w:val="009705DF"/>
    <w:rsid w:val="00970BCF"/>
    <w:rsid w:val="00971329"/>
    <w:rsid w:val="009732BF"/>
    <w:rsid w:val="00973DC2"/>
    <w:rsid w:val="009748E2"/>
    <w:rsid w:val="009749FC"/>
    <w:rsid w:val="00974E9E"/>
    <w:rsid w:val="00975F29"/>
    <w:rsid w:val="00975F5B"/>
    <w:rsid w:val="00976DC0"/>
    <w:rsid w:val="009771A2"/>
    <w:rsid w:val="00977748"/>
    <w:rsid w:val="009809E8"/>
    <w:rsid w:val="00981511"/>
    <w:rsid w:val="00981C19"/>
    <w:rsid w:val="009823CE"/>
    <w:rsid w:val="009823F9"/>
    <w:rsid w:val="00982F4E"/>
    <w:rsid w:val="00983378"/>
    <w:rsid w:val="00983907"/>
    <w:rsid w:val="0098391D"/>
    <w:rsid w:val="00983DFF"/>
    <w:rsid w:val="00984679"/>
    <w:rsid w:val="00985039"/>
    <w:rsid w:val="00985253"/>
    <w:rsid w:val="009855E3"/>
    <w:rsid w:val="00985BA2"/>
    <w:rsid w:val="00986808"/>
    <w:rsid w:val="0098745E"/>
    <w:rsid w:val="0098782C"/>
    <w:rsid w:val="00987D3A"/>
    <w:rsid w:val="0099034D"/>
    <w:rsid w:val="0099057F"/>
    <w:rsid w:val="009912ED"/>
    <w:rsid w:val="009919B8"/>
    <w:rsid w:val="00991AAE"/>
    <w:rsid w:val="00991C68"/>
    <w:rsid w:val="0099403E"/>
    <w:rsid w:val="00994C38"/>
    <w:rsid w:val="00994E76"/>
    <w:rsid w:val="00995CB3"/>
    <w:rsid w:val="00995F3A"/>
    <w:rsid w:val="00997A77"/>
    <w:rsid w:val="009A00C1"/>
    <w:rsid w:val="009A1235"/>
    <w:rsid w:val="009A135D"/>
    <w:rsid w:val="009A13D9"/>
    <w:rsid w:val="009A1EA4"/>
    <w:rsid w:val="009A2564"/>
    <w:rsid w:val="009A329E"/>
    <w:rsid w:val="009A3820"/>
    <w:rsid w:val="009A3E8D"/>
    <w:rsid w:val="009A3F68"/>
    <w:rsid w:val="009A59F1"/>
    <w:rsid w:val="009A5D23"/>
    <w:rsid w:val="009A5D4F"/>
    <w:rsid w:val="009A5F41"/>
    <w:rsid w:val="009A661E"/>
    <w:rsid w:val="009A7E77"/>
    <w:rsid w:val="009B019A"/>
    <w:rsid w:val="009B0EB2"/>
    <w:rsid w:val="009B14E0"/>
    <w:rsid w:val="009B18DB"/>
    <w:rsid w:val="009B24B5"/>
    <w:rsid w:val="009B300E"/>
    <w:rsid w:val="009B42E3"/>
    <w:rsid w:val="009B447D"/>
    <w:rsid w:val="009B4821"/>
    <w:rsid w:val="009B4A8E"/>
    <w:rsid w:val="009B61D6"/>
    <w:rsid w:val="009B74BD"/>
    <w:rsid w:val="009B7534"/>
    <w:rsid w:val="009C0B8B"/>
    <w:rsid w:val="009C0DC5"/>
    <w:rsid w:val="009C1482"/>
    <w:rsid w:val="009C22F5"/>
    <w:rsid w:val="009C3483"/>
    <w:rsid w:val="009C3536"/>
    <w:rsid w:val="009C375A"/>
    <w:rsid w:val="009C3809"/>
    <w:rsid w:val="009C3C70"/>
    <w:rsid w:val="009C4B96"/>
    <w:rsid w:val="009C57A2"/>
    <w:rsid w:val="009C5E96"/>
    <w:rsid w:val="009C67F0"/>
    <w:rsid w:val="009C6CAE"/>
    <w:rsid w:val="009C6FA9"/>
    <w:rsid w:val="009D05B5"/>
    <w:rsid w:val="009D1032"/>
    <w:rsid w:val="009D1129"/>
    <w:rsid w:val="009D16B8"/>
    <w:rsid w:val="009D1D75"/>
    <w:rsid w:val="009D2AE4"/>
    <w:rsid w:val="009D44CC"/>
    <w:rsid w:val="009D4F7F"/>
    <w:rsid w:val="009D65B5"/>
    <w:rsid w:val="009D67EF"/>
    <w:rsid w:val="009D7850"/>
    <w:rsid w:val="009D7F2C"/>
    <w:rsid w:val="009E0BAD"/>
    <w:rsid w:val="009E1287"/>
    <w:rsid w:val="009E35DB"/>
    <w:rsid w:val="009E3A33"/>
    <w:rsid w:val="009E3E55"/>
    <w:rsid w:val="009E40B2"/>
    <w:rsid w:val="009E42C0"/>
    <w:rsid w:val="009E4EAF"/>
    <w:rsid w:val="009E4EDF"/>
    <w:rsid w:val="009E516B"/>
    <w:rsid w:val="009E51DE"/>
    <w:rsid w:val="009E5211"/>
    <w:rsid w:val="009E6948"/>
    <w:rsid w:val="009E6B85"/>
    <w:rsid w:val="009E6F52"/>
    <w:rsid w:val="009F0BAC"/>
    <w:rsid w:val="009F0CBB"/>
    <w:rsid w:val="009F10E9"/>
    <w:rsid w:val="009F187C"/>
    <w:rsid w:val="009F3920"/>
    <w:rsid w:val="009F4273"/>
    <w:rsid w:val="009F4980"/>
    <w:rsid w:val="009F5238"/>
    <w:rsid w:val="009F57CA"/>
    <w:rsid w:val="009F716A"/>
    <w:rsid w:val="009F7850"/>
    <w:rsid w:val="009F7FDD"/>
    <w:rsid w:val="00A0007A"/>
    <w:rsid w:val="00A00B0D"/>
    <w:rsid w:val="00A00D58"/>
    <w:rsid w:val="00A00F66"/>
    <w:rsid w:val="00A01D98"/>
    <w:rsid w:val="00A01E4C"/>
    <w:rsid w:val="00A021F8"/>
    <w:rsid w:val="00A03173"/>
    <w:rsid w:val="00A03D5A"/>
    <w:rsid w:val="00A06C7F"/>
    <w:rsid w:val="00A06F8B"/>
    <w:rsid w:val="00A0706C"/>
    <w:rsid w:val="00A07126"/>
    <w:rsid w:val="00A071EE"/>
    <w:rsid w:val="00A075FE"/>
    <w:rsid w:val="00A07B07"/>
    <w:rsid w:val="00A10DEB"/>
    <w:rsid w:val="00A112A0"/>
    <w:rsid w:val="00A1241C"/>
    <w:rsid w:val="00A126E5"/>
    <w:rsid w:val="00A1324D"/>
    <w:rsid w:val="00A13414"/>
    <w:rsid w:val="00A13F82"/>
    <w:rsid w:val="00A13FBD"/>
    <w:rsid w:val="00A15051"/>
    <w:rsid w:val="00A16663"/>
    <w:rsid w:val="00A16B07"/>
    <w:rsid w:val="00A20E55"/>
    <w:rsid w:val="00A21966"/>
    <w:rsid w:val="00A22275"/>
    <w:rsid w:val="00A22808"/>
    <w:rsid w:val="00A22B8B"/>
    <w:rsid w:val="00A24C4C"/>
    <w:rsid w:val="00A26CA3"/>
    <w:rsid w:val="00A26D06"/>
    <w:rsid w:val="00A26DC1"/>
    <w:rsid w:val="00A27A61"/>
    <w:rsid w:val="00A27B29"/>
    <w:rsid w:val="00A27DB4"/>
    <w:rsid w:val="00A3002B"/>
    <w:rsid w:val="00A3031B"/>
    <w:rsid w:val="00A31085"/>
    <w:rsid w:val="00A31FB7"/>
    <w:rsid w:val="00A33D78"/>
    <w:rsid w:val="00A341D3"/>
    <w:rsid w:val="00A37240"/>
    <w:rsid w:val="00A40561"/>
    <w:rsid w:val="00A40805"/>
    <w:rsid w:val="00A41205"/>
    <w:rsid w:val="00A41254"/>
    <w:rsid w:val="00A41314"/>
    <w:rsid w:val="00A415C7"/>
    <w:rsid w:val="00A41E3E"/>
    <w:rsid w:val="00A4231F"/>
    <w:rsid w:val="00A427FF"/>
    <w:rsid w:val="00A42E29"/>
    <w:rsid w:val="00A430D9"/>
    <w:rsid w:val="00A43C5C"/>
    <w:rsid w:val="00A43F30"/>
    <w:rsid w:val="00A4421B"/>
    <w:rsid w:val="00A44D20"/>
    <w:rsid w:val="00A44D83"/>
    <w:rsid w:val="00A453BA"/>
    <w:rsid w:val="00A46448"/>
    <w:rsid w:val="00A47337"/>
    <w:rsid w:val="00A475C6"/>
    <w:rsid w:val="00A478CE"/>
    <w:rsid w:val="00A47B24"/>
    <w:rsid w:val="00A50CB2"/>
    <w:rsid w:val="00A50EBB"/>
    <w:rsid w:val="00A514F8"/>
    <w:rsid w:val="00A515AC"/>
    <w:rsid w:val="00A51E1C"/>
    <w:rsid w:val="00A52F60"/>
    <w:rsid w:val="00A53046"/>
    <w:rsid w:val="00A5377B"/>
    <w:rsid w:val="00A556E5"/>
    <w:rsid w:val="00A55B1E"/>
    <w:rsid w:val="00A57E73"/>
    <w:rsid w:val="00A6067E"/>
    <w:rsid w:val="00A618D6"/>
    <w:rsid w:val="00A6242D"/>
    <w:rsid w:val="00A62809"/>
    <w:rsid w:val="00A63E11"/>
    <w:rsid w:val="00A65522"/>
    <w:rsid w:val="00A661BB"/>
    <w:rsid w:val="00A66251"/>
    <w:rsid w:val="00A70BFA"/>
    <w:rsid w:val="00A70F4F"/>
    <w:rsid w:val="00A72BC0"/>
    <w:rsid w:val="00A72F2F"/>
    <w:rsid w:val="00A73F2B"/>
    <w:rsid w:val="00A7405A"/>
    <w:rsid w:val="00A76823"/>
    <w:rsid w:val="00A76D2A"/>
    <w:rsid w:val="00A77914"/>
    <w:rsid w:val="00A779FA"/>
    <w:rsid w:val="00A80C51"/>
    <w:rsid w:val="00A81B69"/>
    <w:rsid w:val="00A81C4B"/>
    <w:rsid w:val="00A84A9E"/>
    <w:rsid w:val="00A850D8"/>
    <w:rsid w:val="00A850EF"/>
    <w:rsid w:val="00A85F84"/>
    <w:rsid w:val="00A901C7"/>
    <w:rsid w:val="00A90791"/>
    <w:rsid w:val="00A90F79"/>
    <w:rsid w:val="00A91BE1"/>
    <w:rsid w:val="00A920CF"/>
    <w:rsid w:val="00A9224D"/>
    <w:rsid w:val="00A939AF"/>
    <w:rsid w:val="00A94C6B"/>
    <w:rsid w:val="00A955BC"/>
    <w:rsid w:val="00A95A77"/>
    <w:rsid w:val="00A95D55"/>
    <w:rsid w:val="00A96EFD"/>
    <w:rsid w:val="00A97A3F"/>
    <w:rsid w:val="00AA0138"/>
    <w:rsid w:val="00AA01AD"/>
    <w:rsid w:val="00AA01AF"/>
    <w:rsid w:val="00AA04E0"/>
    <w:rsid w:val="00AA1051"/>
    <w:rsid w:val="00AA120E"/>
    <w:rsid w:val="00AA14C8"/>
    <w:rsid w:val="00AA18FE"/>
    <w:rsid w:val="00AA1A64"/>
    <w:rsid w:val="00AA25CC"/>
    <w:rsid w:val="00AA276C"/>
    <w:rsid w:val="00AA2F30"/>
    <w:rsid w:val="00AA312D"/>
    <w:rsid w:val="00AA31AC"/>
    <w:rsid w:val="00AA33FB"/>
    <w:rsid w:val="00AA5372"/>
    <w:rsid w:val="00AA57CD"/>
    <w:rsid w:val="00AA6036"/>
    <w:rsid w:val="00AA703F"/>
    <w:rsid w:val="00AA74F8"/>
    <w:rsid w:val="00AB059D"/>
    <w:rsid w:val="00AB0690"/>
    <w:rsid w:val="00AB0CB8"/>
    <w:rsid w:val="00AB1119"/>
    <w:rsid w:val="00AB177B"/>
    <w:rsid w:val="00AB306E"/>
    <w:rsid w:val="00AB3376"/>
    <w:rsid w:val="00AB48B0"/>
    <w:rsid w:val="00AB5462"/>
    <w:rsid w:val="00AB5B95"/>
    <w:rsid w:val="00AB64EE"/>
    <w:rsid w:val="00AB6517"/>
    <w:rsid w:val="00AB6BD1"/>
    <w:rsid w:val="00AB6E77"/>
    <w:rsid w:val="00AC127E"/>
    <w:rsid w:val="00AC1B68"/>
    <w:rsid w:val="00AC1F6D"/>
    <w:rsid w:val="00AC2F6C"/>
    <w:rsid w:val="00AC419B"/>
    <w:rsid w:val="00AC4365"/>
    <w:rsid w:val="00AC47D2"/>
    <w:rsid w:val="00AC53F2"/>
    <w:rsid w:val="00AC5C4E"/>
    <w:rsid w:val="00AC6B7F"/>
    <w:rsid w:val="00AC6F0B"/>
    <w:rsid w:val="00AC74A7"/>
    <w:rsid w:val="00AC7D15"/>
    <w:rsid w:val="00AC7E57"/>
    <w:rsid w:val="00AC7FFC"/>
    <w:rsid w:val="00AD109C"/>
    <w:rsid w:val="00AD16FB"/>
    <w:rsid w:val="00AD1700"/>
    <w:rsid w:val="00AD4083"/>
    <w:rsid w:val="00AD4A50"/>
    <w:rsid w:val="00AD5787"/>
    <w:rsid w:val="00AD5835"/>
    <w:rsid w:val="00AD7376"/>
    <w:rsid w:val="00AD7CD7"/>
    <w:rsid w:val="00AE0210"/>
    <w:rsid w:val="00AE0DB8"/>
    <w:rsid w:val="00AE21FB"/>
    <w:rsid w:val="00AE2285"/>
    <w:rsid w:val="00AE3538"/>
    <w:rsid w:val="00AE357F"/>
    <w:rsid w:val="00AE3E11"/>
    <w:rsid w:val="00AE55D6"/>
    <w:rsid w:val="00AE6520"/>
    <w:rsid w:val="00AE6D35"/>
    <w:rsid w:val="00AE6DE7"/>
    <w:rsid w:val="00AE76BD"/>
    <w:rsid w:val="00AE7D33"/>
    <w:rsid w:val="00AF0E85"/>
    <w:rsid w:val="00AF1B98"/>
    <w:rsid w:val="00AF1CEB"/>
    <w:rsid w:val="00AF24FF"/>
    <w:rsid w:val="00AF2D4A"/>
    <w:rsid w:val="00AF3032"/>
    <w:rsid w:val="00AF36E9"/>
    <w:rsid w:val="00AF3791"/>
    <w:rsid w:val="00AF3ADC"/>
    <w:rsid w:val="00AF4568"/>
    <w:rsid w:val="00AF4887"/>
    <w:rsid w:val="00AF4C2C"/>
    <w:rsid w:val="00AF512D"/>
    <w:rsid w:val="00AF56AC"/>
    <w:rsid w:val="00AF6929"/>
    <w:rsid w:val="00AF69B7"/>
    <w:rsid w:val="00AF7F4F"/>
    <w:rsid w:val="00B007DD"/>
    <w:rsid w:val="00B008DC"/>
    <w:rsid w:val="00B00A9B"/>
    <w:rsid w:val="00B00D61"/>
    <w:rsid w:val="00B00E7A"/>
    <w:rsid w:val="00B0157C"/>
    <w:rsid w:val="00B016B1"/>
    <w:rsid w:val="00B0278E"/>
    <w:rsid w:val="00B02BF6"/>
    <w:rsid w:val="00B02D82"/>
    <w:rsid w:val="00B02E64"/>
    <w:rsid w:val="00B04186"/>
    <w:rsid w:val="00B04261"/>
    <w:rsid w:val="00B044CE"/>
    <w:rsid w:val="00B04596"/>
    <w:rsid w:val="00B04D01"/>
    <w:rsid w:val="00B0503D"/>
    <w:rsid w:val="00B054DA"/>
    <w:rsid w:val="00B057EA"/>
    <w:rsid w:val="00B05E7B"/>
    <w:rsid w:val="00B06C5C"/>
    <w:rsid w:val="00B06E35"/>
    <w:rsid w:val="00B07D15"/>
    <w:rsid w:val="00B07D71"/>
    <w:rsid w:val="00B105C5"/>
    <w:rsid w:val="00B111D4"/>
    <w:rsid w:val="00B12B70"/>
    <w:rsid w:val="00B1375A"/>
    <w:rsid w:val="00B13E18"/>
    <w:rsid w:val="00B13F46"/>
    <w:rsid w:val="00B14396"/>
    <w:rsid w:val="00B1486A"/>
    <w:rsid w:val="00B148DC"/>
    <w:rsid w:val="00B148E4"/>
    <w:rsid w:val="00B15011"/>
    <w:rsid w:val="00B153D7"/>
    <w:rsid w:val="00B157B0"/>
    <w:rsid w:val="00B168CA"/>
    <w:rsid w:val="00B16EFE"/>
    <w:rsid w:val="00B176CC"/>
    <w:rsid w:val="00B17719"/>
    <w:rsid w:val="00B179CD"/>
    <w:rsid w:val="00B20CCE"/>
    <w:rsid w:val="00B20E39"/>
    <w:rsid w:val="00B21F26"/>
    <w:rsid w:val="00B22005"/>
    <w:rsid w:val="00B239B9"/>
    <w:rsid w:val="00B23FA8"/>
    <w:rsid w:val="00B2437C"/>
    <w:rsid w:val="00B25D0F"/>
    <w:rsid w:val="00B2621A"/>
    <w:rsid w:val="00B263AE"/>
    <w:rsid w:val="00B2659B"/>
    <w:rsid w:val="00B26874"/>
    <w:rsid w:val="00B2687F"/>
    <w:rsid w:val="00B27834"/>
    <w:rsid w:val="00B278F9"/>
    <w:rsid w:val="00B27F10"/>
    <w:rsid w:val="00B31FCD"/>
    <w:rsid w:val="00B32038"/>
    <w:rsid w:val="00B322BB"/>
    <w:rsid w:val="00B3231C"/>
    <w:rsid w:val="00B3354D"/>
    <w:rsid w:val="00B33943"/>
    <w:rsid w:val="00B33DF2"/>
    <w:rsid w:val="00B340ED"/>
    <w:rsid w:val="00B341C3"/>
    <w:rsid w:val="00B34AC8"/>
    <w:rsid w:val="00B35371"/>
    <w:rsid w:val="00B369E9"/>
    <w:rsid w:val="00B375BF"/>
    <w:rsid w:val="00B4057E"/>
    <w:rsid w:val="00B42B15"/>
    <w:rsid w:val="00B43DD1"/>
    <w:rsid w:val="00B44A00"/>
    <w:rsid w:val="00B44BD8"/>
    <w:rsid w:val="00B44F81"/>
    <w:rsid w:val="00B45816"/>
    <w:rsid w:val="00B466F2"/>
    <w:rsid w:val="00B4739F"/>
    <w:rsid w:val="00B47897"/>
    <w:rsid w:val="00B47E1B"/>
    <w:rsid w:val="00B503C4"/>
    <w:rsid w:val="00B5046D"/>
    <w:rsid w:val="00B519AB"/>
    <w:rsid w:val="00B51AD2"/>
    <w:rsid w:val="00B51EC2"/>
    <w:rsid w:val="00B51F75"/>
    <w:rsid w:val="00B540D0"/>
    <w:rsid w:val="00B55909"/>
    <w:rsid w:val="00B5611E"/>
    <w:rsid w:val="00B561A3"/>
    <w:rsid w:val="00B5663C"/>
    <w:rsid w:val="00B5686A"/>
    <w:rsid w:val="00B57201"/>
    <w:rsid w:val="00B57C8E"/>
    <w:rsid w:val="00B57CC2"/>
    <w:rsid w:val="00B60AF8"/>
    <w:rsid w:val="00B611DE"/>
    <w:rsid w:val="00B612F2"/>
    <w:rsid w:val="00B619D3"/>
    <w:rsid w:val="00B625B0"/>
    <w:rsid w:val="00B62AEA"/>
    <w:rsid w:val="00B63AE2"/>
    <w:rsid w:val="00B64C1A"/>
    <w:rsid w:val="00B64E9C"/>
    <w:rsid w:val="00B661BE"/>
    <w:rsid w:val="00B66702"/>
    <w:rsid w:val="00B66A67"/>
    <w:rsid w:val="00B66E74"/>
    <w:rsid w:val="00B67726"/>
    <w:rsid w:val="00B67EAA"/>
    <w:rsid w:val="00B7083A"/>
    <w:rsid w:val="00B71A8F"/>
    <w:rsid w:val="00B736C0"/>
    <w:rsid w:val="00B73ABB"/>
    <w:rsid w:val="00B73F37"/>
    <w:rsid w:val="00B743F4"/>
    <w:rsid w:val="00B74A55"/>
    <w:rsid w:val="00B75029"/>
    <w:rsid w:val="00B756BE"/>
    <w:rsid w:val="00B75726"/>
    <w:rsid w:val="00B75849"/>
    <w:rsid w:val="00B75C50"/>
    <w:rsid w:val="00B75E28"/>
    <w:rsid w:val="00B766EC"/>
    <w:rsid w:val="00B77A0B"/>
    <w:rsid w:val="00B77FA7"/>
    <w:rsid w:val="00B80371"/>
    <w:rsid w:val="00B80F8B"/>
    <w:rsid w:val="00B81BE5"/>
    <w:rsid w:val="00B82C07"/>
    <w:rsid w:val="00B833A3"/>
    <w:rsid w:val="00B833BB"/>
    <w:rsid w:val="00B8386F"/>
    <w:rsid w:val="00B83C7A"/>
    <w:rsid w:val="00B83D72"/>
    <w:rsid w:val="00B86B99"/>
    <w:rsid w:val="00B877C3"/>
    <w:rsid w:val="00B8780B"/>
    <w:rsid w:val="00B879BB"/>
    <w:rsid w:val="00B901EE"/>
    <w:rsid w:val="00B90BE1"/>
    <w:rsid w:val="00B934EB"/>
    <w:rsid w:val="00B94117"/>
    <w:rsid w:val="00B962B3"/>
    <w:rsid w:val="00B96C23"/>
    <w:rsid w:val="00B96E7C"/>
    <w:rsid w:val="00B97117"/>
    <w:rsid w:val="00B973A3"/>
    <w:rsid w:val="00B97518"/>
    <w:rsid w:val="00BA0A49"/>
    <w:rsid w:val="00BA0E31"/>
    <w:rsid w:val="00BA2411"/>
    <w:rsid w:val="00BA2478"/>
    <w:rsid w:val="00BA3029"/>
    <w:rsid w:val="00BA3EF6"/>
    <w:rsid w:val="00BA43C0"/>
    <w:rsid w:val="00BA5FAF"/>
    <w:rsid w:val="00BA609A"/>
    <w:rsid w:val="00BA7194"/>
    <w:rsid w:val="00BA7234"/>
    <w:rsid w:val="00BA78D4"/>
    <w:rsid w:val="00BB0754"/>
    <w:rsid w:val="00BB0C67"/>
    <w:rsid w:val="00BB0E1A"/>
    <w:rsid w:val="00BB16F6"/>
    <w:rsid w:val="00BB2087"/>
    <w:rsid w:val="00BB3152"/>
    <w:rsid w:val="00BB33F0"/>
    <w:rsid w:val="00BB3451"/>
    <w:rsid w:val="00BB3C58"/>
    <w:rsid w:val="00BB4E1E"/>
    <w:rsid w:val="00BB5866"/>
    <w:rsid w:val="00BB7A58"/>
    <w:rsid w:val="00BC02E5"/>
    <w:rsid w:val="00BC04FF"/>
    <w:rsid w:val="00BC0A25"/>
    <w:rsid w:val="00BC0F79"/>
    <w:rsid w:val="00BC1B99"/>
    <w:rsid w:val="00BC20A5"/>
    <w:rsid w:val="00BC2A05"/>
    <w:rsid w:val="00BC2CA6"/>
    <w:rsid w:val="00BC323E"/>
    <w:rsid w:val="00BC3421"/>
    <w:rsid w:val="00BC3A78"/>
    <w:rsid w:val="00BC3B03"/>
    <w:rsid w:val="00BC46AA"/>
    <w:rsid w:val="00BC4EC3"/>
    <w:rsid w:val="00BC54DC"/>
    <w:rsid w:val="00BC5B22"/>
    <w:rsid w:val="00BC5BCD"/>
    <w:rsid w:val="00BC6403"/>
    <w:rsid w:val="00BD16F4"/>
    <w:rsid w:val="00BD1D68"/>
    <w:rsid w:val="00BD21AD"/>
    <w:rsid w:val="00BD3F26"/>
    <w:rsid w:val="00BD482C"/>
    <w:rsid w:val="00BD487B"/>
    <w:rsid w:val="00BD5064"/>
    <w:rsid w:val="00BD5A73"/>
    <w:rsid w:val="00BD6D0C"/>
    <w:rsid w:val="00BD6FEA"/>
    <w:rsid w:val="00BD723C"/>
    <w:rsid w:val="00BD7651"/>
    <w:rsid w:val="00BD7704"/>
    <w:rsid w:val="00BD781C"/>
    <w:rsid w:val="00BE06E1"/>
    <w:rsid w:val="00BE11AD"/>
    <w:rsid w:val="00BE1F47"/>
    <w:rsid w:val="00BE20A7"/>
    <w:rsid w:val="00BE2B06"/>
    <w:rsid w:val="00BE32EE"/>
    <w:rsid w:val="00BE3643"/>
    <w:rsid w:val="00BE3857"/>
    <w:rsid w:val="00BE38B9"/>
    <w:rsid w:val="00BE7616"/>
    <w:rsid w:val="00BE77DC"/>
    <w:rsid w:val="00BF0382"/>
    <w:rsid w:val="00BF0448"/>
    <w:rsid w:val="00BF05EC"/>
    <w:rsid w:val="00BF075A"/>
    <w:rsid w:val="00BF1661"/>
    <w:rsid w:val="00BF2861"/>
    <w:rsid w:val="00BF3B9D"/>
    <w:rsid w:val="00BF3F8F"/>
    <w:rsid w:val="00BF4397"/>
    <w:rsid w:val="00BF45EE"/>
    <w:rsid w:val="00BF4EB9"/>
    <w:rsid w:val="00BF531F"/>
    <w:rsid w:val="00BF57E3"/>
    <w:rsid w:val="00BF5A56"/>
    <w:rsid w:val="00BF5F6A"/>
    <w:rsid w:val="00BF67D1"/>
    <w:rsid w:val="00BF6956"/>
    <w:rsid w:val="00BF6BD5"/>
    <w:rsid w:val="00BF733A"/>
    <w:rsid w:val="00BF74CB"/>
    <w:rsid w:val="00C00C5B"/>
    <w:rsid w:val="00C00F7B"/>
    <w:rsid w:val="00C016F9"/>
    <w:rsid w:val="00C03A3F"/>
    <w:rsid w:val="00C04196"/>
    <w:rsid w:val="00C04F9F"/>
    <w:rsid w:val="00C055CD"/>
    <w:rsid w:val="00C0630B"/>
    <w:rsid w:val="00C07510"/>
    <w:rsid w:val="00C077FC"/>
    <w:rsid w:val="00C07C60"/>
    <w:rsid w:val="00C123EC"/>
    <w:rsid w:val="00C124D5"/>
    <w:rsid w:val="00C12E14"/>
    <w:rsid w:val="00C133E3"/>
    <w:rsid w:val="00C13E8B"/>
    <w:rsid w:val="00C14385"/>
    <w:rsid w:val="00C1656E"/>
    <w:rsid w:val="00C1799B"/>
    <w:rsid w:val="00C17A1B"/>
    <w:rsid w:val="00C17FDC"/>
    <w:rsid w:val="00C20787"/>
    <w:rsid w:val="00C20C12"/>
    <w:rsid w:val="00C20CF9"/>
    <w:rsid w:val="00C20EF1"/>
    <w:rsid w:val="00C21B4F"/>
    <w:rsid w:val="00C226C1"/>
    <w:rsid w:val="00C22A24"/>
    <w:rsid w:val="00C23445"/>
    <w:rsid w:val="00C23A14"/>
    <w:rsid w:val="00C2488C"/>
    <w:rsid w:val="00C25096"/>
    <w:rsid w:val="00C250F1"/>
    <w:rsid w:val="00C25F74"/>
    <w:rsid w:val="00C25F77"/>
    <w:rsid w:val="00C27637"/>
    <w:rsid w:val="00C309A8"/>
    <w:rsid w:val="00C30E61"/>
    <w:rsid w:val="00C315E2"/>
    <w:rsid w:val="00C31F5B"/>
    <w:rsid w:val="00C33AE0"/>
    <w:rsid w:val="00C34EE8"/>
    <w:rsid w:val="00C34F54"/>
    <w:rsid w:val="00C365BF"/>
    <w:rsid w:val="00C37C65"/>
    <w:rsid w:val="00C42197"/>
    <w:rsid w:val="00C42296"/>
    <w:rsid w:val="00C423E0"/>
    <w:rsid w:val="00C429AE"/>
    <w:rsid w:val="00C46DA5"/>
    <w:rsid w:val="00C5145B"/>
    <w:rsid w:val="00C51D5E"/>
    <w:rsid w:val="00C520CB"/>
    <w:rsid w:val="00C524E9"/>
    <w:rsid w:val="00C5305E"/>
    <w:rsid w:val="00C536F0"/>
    <w:rsid w:val="00C53C58"/>
    <w:rsid w:val="00C54116"/>
    <w:rsid w:val="00C54274"/>
    <w:rsid w:val="00C546C4"/>
    <w:rsid w:val="00C5482F"/>
    <w:rsid w:val="00C549AB"/>
    <w:rsid w:val="00C54B78"/>
    <w:rsid w:val="00C554F0"/>
    <w:rsid w:val="00C5565F"/>
    <w:rsid w:val="00C56014"/>
    <w:rsid w:val="00C562EE"/>
    <w:rsid w:val="00C569E5"/>
    <w:rsid w:val="00C56F43"/>
    <w:rsid w:val="00C61089"/>
    <w:rsid w:val="00C613C1"/>
    <w:rsid w:val="00C617E7"/>
    <w:rsid w:val="00C62332"/>
    <w:rsid w:val="00C6298C"/>
    <w:rsid w:val="00C630B8"/>
    <w:rsid w:val="00C6319C"/>
    <w:rsid w:val="00C64F49"/>
    <w:rsid w:val="00C65494"/>
    <w:rsid w:val="00C668B7"/>
    <w:rsid w:val="00C668E1"/>
    <w:rsid w:val="00C66C1C"/>
    <w:rsid w:val="00C7148E"/>
    <w:rsid w:val="00C723E3"/>
    <w:rsid w:val="00C72F2A"/>
    <w:rsid w:val="00C7321D"/>
    <w:rsid w:val="00C736DB"/>
    <w:rsid w:val="00C73A72"/>
    <w:rsid w:val="00C742A5"/>
    <w:rsid w:val="00C74FBB"/>
    <w:rsid w:val="00C75995"/>
    <w:rsid w:val="00C76319"/>
    <w:rsid w:val="00C76E4B"/>
    <w:rsid w:val="00C7746E"/>
    <w:rsid w:val="00C80330"/>
    <w:rsid w:val="00C813CD"/>
    <w:rsid w:val="00C8157D"/>
    <w:rsid w:val="00C817E9"/>
    <w:rsid w:val="00C81826"/>
    <w:rsid w:val="00C8224A"/>
    <w:rsid w:val="00C82425"/>
    <w:rsid w:val="00C83E11"/>
    <w:rsid w:val="00C85B91"/>
    <w:rsid w:val="00C85D3B"/>
    <w:rsid w:val="00C85E89"/>
    <w:rsid w:val="00C85F90"/>
    <w:rsid w:val="00C8631A"/>
    <w:rsid w:val="00C866A9"/>
    <w:rsid w:val="00C87C86"/>
    <w:rsid w:val="00C87EA6"/>
    <w:rsid w:val="00C9014D"/>
    <w:rsid w:val="00C90A34"/>
    <w:rsid w:val="00C917A5"/>
    <w:rsid w:val="00C927E9"/>
    <w:rsid w:val="00C933DA"/>
    <w:rsid w:val="00C93AE7"/>
    <w:rsid w:val="00C93C36"/>
    <w:rsid w:val="00C94127"/>
    <w:rsid w:val="00C947C2"/>
    <w:rsid w:val="00C957BF"/>
    <w:rsid w:val="00C95D51"/>
    <w:rsid w:val="00C96118"/>
    <w:rsid w:val="00C9618D"/>
    <w:rsid w:val="00C97595"/>
    <w:rsid w:val="00C97897"/>
    <w:rsid w:val="00C979D1"/>
    <w:rsid w:val="00C97D12"/>
    <w:rsid w:val="00CA1509"/>
    <w:rsid w:val="00CA197B"/>
    <w:rsid w:val="00CA20DC"/>
    <w:rsid w:val="00CA3AB6"/>
    <w:rsid w:val="00CA4794"/>
    <w:rsid w:val="00CA500B"/>
    <w:rsid w:val="00CA557B"/>
    <w:rsid w:val="00CA57B9"/>
    <w:rsid w:val="00CA65E4"/>
    <w:rsid w:val="00CA6B11"/>
    <w:rsid w:val="00CA6B75"/>
    <w:rsid w:val="00CA6E40"/>
    <w:rsid w:val="00CA7F3F"/>
    <w:rsid w:val="00CB0689"/>
    <w:rsid w:val="00CB10E9"/>
    <w:rsid w:val="00CB19C5"/>
    <w:rsid w:val="00CB1B00"/>
    <w:rsid w:val="00CB27AC"/>
    <w:rsid w:val="00CB2AC7"/>
    <w:rsid w:val="00CB3B2B"/>
    <w:rsid w:val="00CB5256"/>
    <w:rsid w:val="00CB5494"/>
    <w:rsid w:val="00CB6868"/>
    <w:rsid w:val="00CB6BD5"/>
    <w:rsid w:val="00CB6E50"/>
    <w:rsid w:val="00CB7834"/>
    <w:rsid w:val="00CC0046"/>
    <w:rsid w:val="00CC0F54"/>
    <w:rsid w:val="00CC13F3"/>
    <w:rsid w:val="00CC19BD"/>
    <w:rsid w:val="00CC1BD7"/>
    <w:rsid w:val="00CC1D8F"/>
    <w:rsid w:val="00CC21F4"/>
    <w:rsid w:val="00CC31F9"/>
    <w:rsid w:val="00CC3246"/>
    <w:rsid w:val="00CC3267"/>
    <w:rsid w:val="00CC376E"/>
    <w:rsid w:val="00CC3CDD"/>
    <w:rsid w:val="00CC4F74"/>
    <w:rsid w:val="00CC5036"/>
    <w:rsid w:val="00CC5BC9"/>
    <w:rsid w:val="00CC6B4E"/>
    <w:rsid w:val="00CC7258"/>
    <w:rsid w:val="00CC7728"/>
    <w:rsid w:val="00CC7E29"/>
    <w:rsid w:val="00CD0650"/>
    <w:rsid w:val="00CD15CD"/>
    <w:rsid w:val="00CD1E4D"/>
    <w:rsid w:val="00CD218D"/>
    <w:rsid w:val="00CD2884"/>
    <w:rsid w:val="00CD4FD6"/>
    <w:rsid w:val="00CD7127"/>
    <w:rsid w:val="00CD72F9"/>
    <w:rsid w:val="00CD7E89"/>
    <w:rsid w:val="00CE077A"/>
    <w:rsid w:val="00CE0C97"/>
    <w:rsid w:val="00CE0DF1"/>
    <w:rsid w:val="00CE13C7"/>
    <w:rsid w:val="00CE1E22"/>
    <w:rsid w:val="00CE1FFF"/>
    <w:rsid w:val="00CE3EE7"/>
    <w:rsid w:val="00CE4AEC"/>
    <w:rsid w:val="00CE574B"/>
    <w:rsid w:val="00CE579F"/>
    <w:rsid w:val="00CE60A5"/>
    <w:rsid w:val="00CE6B9F"/>
    <w:rsid w:val="00CF110E"/>
    <w:rsid w:val="00CF2F57"/>
    <w:rsid w:val="00CF3555"/>
    <w:rsid w:val="00CF457F"/>
    <w:rsid w:val="00CF52F5"/>
    <w:rsid w:val="00CF5A2C"/>
    <w:rsid w:val="00CF5A92"/>
    <w:rsid w:val="00CF6079"/>
    <w:rsid w:val="00CF60AA"/>
    <w:rsid w:val="00CF6AB1"/>
    <w:rsid w:val="00CF6C98"/>
    <w:rsid w:val="00CF722C"/>
    <w:rsid w:val="00CF781A"/>
    <w:rsid w:val="00CF7EC2"/>
    <w:rsid w:val="00D009E6"/>
    <w:rsid w:val="00D033E0"/>
    <w:rsid w:val="00D036A7"/>
    <w:rsid w:val="00D03E25"/>
    <w:rsid w:val="00D04593"/>
    <w:rsid w:val="00D0587B"/>
    <w:rsid w:val="00D101D9"/>
    <w:rsid w:val="00D10283"/>
    <w:rsid w:val="00D103CC"/>
    <w:rsid w:val="00D106D0"/>
    <w:rsid w:val="00D10990"/>
    <w:rsid w:val="00D11487"/>
    <w:rsid w:val="00D11B4E"/>
    <w:rsid w:val="00D12333"/>
    <w:rsid w:val="00D12E01"/>
    <w:rsid w:val="00D13FA1"/>
    <w:rsid w:val="00D159A8"/>
    <w:rsid w:val="00D15EC7"/>
    <w:rsid w:val="00D17408"/>
    <w:rsid w:val="00D17AD7"/>
    <w:rsid w:val="00D20EAE"/>
    <w:rsid w:val="00D20FBE"/>
    <w:rsid w:val="00D2161D"/>
    <w:rsid w:val="00D2170F"/>
    <w:rsid w:val="00D22816"/>
    <w:rsid w:val="00D229C0"/>
    <w:rsid w:val="00D23C04"/>
    <w:rsid w:val="00D23D7F"/>
    <w:rsid w:val="00D24433"/>
    <w:rsid w:val="00D25433"/>
    <w:rsid w:val="00D254AE"/>
    <w:rsid w:val="00D25AF8"/>
    <w:rsid w:val="00D302B7"/>
    <w:rsid w:val="00D3033B"/>
    <w:rsid w:val="00D312B7"/>
    <w:rsid w:val="00D32FEF"/>
    <w:rsid w:val="00D331C5"/>
    <w:rsid w:val="00D333A7"/>
    <w:rsid w:val="00D34471"/>
    <w:rsid w:val="00D354A2"/>
    <w:rsid w:val="00D3797D"/>
    <w:rsid w:val="00D4077F"/>
    <w:rsid w:val="00D4137A"/>
    <w:rsid w:val="00D41407"/>
    <w:rsid w:val="00D41FBF"/>
    <w:rsid w:val="00D42C99"/>
    <w:rsid w:val="00D42E27"/>
    <w:rsid w:val="00D434D3"/>
    <w:rsid w:val="00D43B02"/>
    <w:rsid w:val="00D43D2A"/>
    <w:rsid w:val="00D44053"/>
    <w:rsid w:val="00D44D21"/>
    <w:rsid w:val="00D451A8"/>
    <w:rsid w:val="00D45439"/>
    <w:rsid w:val="00D45DEE"/>
    <w:rsid w:val="00D4664B"/>
    <w:rsid w:val="00D468FC"/>
    <w:rsid w:val="00D46DAE"/>
    <w:rsid w:val="00D4701F"/>
    <w:rsid w:val="00D4738B"/>
    <w:rsid w:val="00D4796E"/>
    <w:rsid w:val="00D55EB6"/>
    <w:rsid w:val="00D564BC"/>
    <w:rsid w:val="00D57304"/>
    <w:rsid w:val="00D57568"/>
    <w:rsid w:val="00D577E3"/>
    <w:rsid w:val="00D5784B"/>
    <w:rsid w:val="00D6041C"/>
    <w:rsid w:val="00D6076F"/>
    <w:rsid w:val="00D60942"/>
    <w:rsid w:val="00D6187B"/>
    <w:rsid w:val="00D62172"/>
    <w:rsid w:val="00D62445"/>
    <w:rsid w:val="00D62E8A"/>
    <w:rsid w:val="00D6340A"/>
    <w:rsid w:val="00D646BE"/>
    <w:rsid w:val="00D65524"/>
    <w:rsid w:val="00D65BFE"/>
    <w:rsid w:val="00D67F0E"/>
    <w:rsid w:val="00D70FCD"/>
    <w:rsid w:val="00D713BA"/>
    <w:rsid w:val="00D71656"/>
    <w:rsid w:val="00D72A16"/>
    <w:rsid w:val="00D72D46"/>
    <w:rsid w:val="00D7321D"/>
    <w:rsid w:val="00D74CBA"/>
    <w:rsid w:val="00D7531C"/>
    <w:rsid w:val="00D75974"/>
    <w:rsid w:val="00D76062"/>
    <w:rsid w:val="00D7755A"/>
    <w:rsid w:val="00D8085F"/>
    <w:rsid w:val="00D80944"/>
    <w:rsid w:val="00D809B8"/>
    <w:rsid w:val="00D80BF0"/>
    <w:rsid w:val="00D81614"/>
    <w:rsid w:val="00D82124"/>
    <w:rsid w:val="00D828DE"/>
    <w:rsid w:val="00D8319D"/>
    <w:rsid w:val="00D84AAE"/>
    <w:rsid w:val="00D866CD"/>
    <w:rsid w:val="00D86F12"/>
    <w:rsid w:val="00D8761A"/>
    <w:rsid w:val="00D87DE1"/>
    <w:rsid w:val="00D91DBD"/>
    <w:rsid w:val="00D922B3"/>
    <w:rsid w:val="00D925B7"/>
    <w:rsid w:val="00D93383"/>
    <w:rsid w:val="00D93434"/>
    <w:rsid w:val="00D93B0F"/>
    <w:rsid w:val="00D93E33"/>
    <w:rsid w:val="00D94A90"/>
    <w:rsid w:val="00D959F8"/>
    <w:rsid w:val="00D96489"/>
    <w:rsid w:val="00D96A1F"/>
    <w:rsid w:val="00D96AC0"/>
    <w:rsid w:val="00DA00E0"/>
    <w:rsid w:val="00DA00F4"/>
    <w:rsid w:val="00DA0216"/>
    <w:rsid w:val="00DA0588"/>
    <w:rsid w:val="00DA1E97"/>
    <w:rsid w:val="00DA2041"/>
    <w:rsid w:val="00DA2959"/>
    <w:rsid w:val="00DA43AA"/>
    <w:rsid w:val="00DA4C6E"/>
    <w:rsid w:val="00DA5831"/>
    <w:rsid w:val="00DA5ED1"/>
    <w:rsid w:val="00DA5FB1"/>
    <w:rsid w:val="00DA639C"/>
    <w:rsid w:val="00DA6B7E"/>
    <w:rsid w:val="00DA6C19"/>
    <w:rsid w:val="00DA6C2F"/>
    <w:rsid w:val="00DA6E26"/>
    <w:rsid w:val="00DA6E51"/>
    <w:rsid w:val="00DB00BC"/>
    <w:rsid w:val="00DB1A01"/>
    <w:rsid w:val="00DB1B61"/>
    <w:rsid w:val="00DB1BB3"/>
    <w:rsid w:val="00DB2C16"/>
    <w:rsid w:val="00DB2DA2"/>
    <w:rsid w:val="00DB3042"/>
    <w:rsid w:val="00DB3607"/>
    <w:rsid w:val="00DB3640"/>
    <w:rsid w:val="00DB36F0"/>
    <w:rsid w:val="00DB3F7C"/>
    <w:rsid w:val="00DB540A"/>
    <w:rsid w:val="00DB57D3"/>
    <w:rsid w:val="00DB5D30"/>
    <w:rsid w:val="00DB7A65"/>
    <w:rsid w:val="00DB7E81"/>
    <w:rsid w:val="00DC0015"/>
    <w:rsid w:val="00DC2A9A"/>
    <w:rsid w:val="00DC4331"/>
    <w:rsid w:val="00DC67AF"/>
    <w:rsid w:val="00DC7684"/>
    <w:rsid w:val="00DD0771"/>
    <w:rsid w:val="00DD206A"/>
    <w:rsid w:val="00DD30CC"/>
    <w:rsid w:val="00DD3189"/>
    <w:rsid w:val="00DD32FF"/>
    <w:rsid w:val="00DD330F"/>
    <w:rsid w:val="00DD36E1"/>
    <w:rsid w:val="00DD3880"/>
    <w:rsid w:val="00DD3A1C"/>
    <w:rsid w:val="00DD3BCB"/>
    <w:rsid w:val="00DD4397"/>
    <w:rsid w:val="00DD462F"/>
    <w:rsid w:val="00DD53A2"/>
    <w:rsid w:val="00DD53B2"/>
    <w:rsid w:val="00DD6100"/>
    <w:rsid w:val="00DD650F"/>
    <w:rsid w:val="00DD7877"/>
    <w:rsid w:val="00DE01B9"/>
    <w:rsid w:val="00DE0AF9"/>
    <w:rsid w:val="00DE0EBC"/>
    <w:rsid w:val="00DE0ECB"/>
    <w:rsid w:val="00DE1074"/>
    <w:rsid w:val="00DE11CE"/>
    <w:rsid w:val="00DE1E36"/>
    <w:rsid w:val="00DE3409"/>
    <w:rsid w:val="00DE34A2"/>
    <w:rsid w:val="00DE45B9"/>
    <w:rsid w:val="00DE4F48"/>
    <w:rsid w:val="00DE582B"/>
    <w:rsid w:val="00DE5B05"/>
    <w:rsid w:val="00DE63C1"/>
    <w:rsid w:val="00DE6501"/>
    <w:rsid w:val="00DE6BAF"/>
    <w:rsid w:val="00DE6F5E"/>
    <w:rsid w:val="00DF0188"/>
    <w:rsid w:val="00DF1012"/>
    <w:rsid w:val="00DF13E3"/>
    <w:rsid w:val="00DF1B41"/>
    <w:rsid w:val="00DF3090"/>
    <w:rsid w:val="00DF3D33"/>
    <w:rsid w:val="00DF3DA1"/>
    <w:rsid w:val="00DF526F"/>
    <w:rsid w:val="00DF5B13"/>
    <w:rsid w:val="00DF6780"/>
    <w:rsid w:val="00DF6A55"/>
    <w:rsid w:val="00DF6B45"/>
    <w:rsid w:val="00DF6E24"/>
    <w:rsid w:val="00DF7567"/>
    <w:rsid w:val="00E000BA"/>
    <w:rsid w:val="00E00C7E"/>
    <w:rsid w:val="00E01449"/>
    <w:rsid w:val="00E015ED"/>
    <w:rsid w:val="00E01600"/>
    <w:rsid w:val="00E024E9"/>
    <w:rsid w:val="00E02BAB"/>
    <w:rsid w:val="00E03383"/>
    <w:rsid w:val="00E03464"/>
    <w:rsid w:val="00E036AA"/>
    <w:rsid w:val="00E03E60"/>
    <w:rsid w:val="00E04978"/>
    <w:rsid w:val="00E06361"/>
    <w:rsid w:val="00E11271"/>
    <w:rsid w:val="00E11FBA"/>
    <w:rsid w:val="00E11FF7"/>
    <w:rsid w:val="00E1209B"/>
    <w:rsid w:val="00E1420A"/>
    <w:rsid w:val="00E14359"/>
    <w:rsid w:val="00E1494C"/>
    <w:rsid w:val="00E149B9"/>
    <w:rsid w:val="00E14B8F"/>
    <w:rsid w:val="00E15DFE"/>
    <w:rsid w:val="00E16BAA"/>
    <w:rsid w:val="00E16E81"/>
    <w:rsid w:val="00E177DD"/>
    <w:rsid w:val="00E179F0"/>
    <w:rsid w:val="00E20178"/>
    <w:rsid w:val="00E204BD"/>
    <w:rsid w:val="00E20F48"/>
    <w:rsid w:val="00E2151F"/>
    <w:rsid w:val="00E22E89"/>
    <w:rsid w:val="00E2328F"/>
    <w:rsid w:val="00E23AA8"/>
    <w:rsid w:val="00E24757"/>
    <w:rsid w:val="00E24CFB"/>
    <w:rsid w:val="00E25071"/>
    <w:rsid w:val="00E250B2"/>
    <w:rsid w:val="00E25A2D"/>
    <w:rsid w:val="00E2619D"/>
    <w:rsid w:val="00E26578"/>
    <w:rsid w:val="00E26CC1"/>
    <w:rsid w:val="00E26DF7"/>
    <w:rsid w:val="00E27123"/>
    <w:rsid w:val="00E271CA"/>
    <w:rsid w:val="00E277FD"/>
    <w:rsid w:val="00E27C50"/>
    <w:rsid w:val="00E30034"/>
    <w:rsid w:val="00E306F8"/>
    <w:rsid w:val="00E31CE7"/>
    <w:rsid w:val="00E322A1"/>
    <w:rsid w:val="00E32A02"/>
    <w:rsid w:val="00E337E7"/>
    <w:rsid w:val="00E3445E"/>
    <w:rsid w:val="00E34F35"/>
    <w:rsid w:val="00E359F7"/>
    <w:rsid w:val="00E35AC4"/>
    <w:rsid w:val="00E365C4"/>
    <w:rsid w:val="00E37213"/>
    <w:rsid w:val="00E376E1"/>
    <w:rsid w:val="00E37FDA"/>
    <w:rsid w:val="00E4061D"/>
    <w:rsid w:val="00E4181C"/>
    <w:rsid w:val="00E42419"/>
    <w:rsid w:val="00E42461"/>
    <w:rsid w:val="00E44116"/>
    <w:rsid w:val="00E443FC"/>
    <w:rsid w:val="00E444F4"/>
    <w:rsid w:val="00E44F12"/>
    <w:rsid w:val="00E45AC9"/>
    <w:rsid w:val="00E45DD1"/>
    <w:rsid w:val="00E46041"/>
    <w:rsid w:val="00E461AD"/>
    <w:rsid w:val="00E46C49"/>
    <w:rsid w:val="00E47A6F"/>
    <w:rsid w:val="00E5005F"/>
    <w:rsid w:val="00E5011D"/>
    <w:rsid w:val="00E51AFC"/>
    <w:rsid w:val="00E51BE1"/>
    <w:rsid w:val="00E51DAC"/>
    <w:rsid w:val="00E52656"/>
    <w:rsid w:val="00E52AEC"/>
    <w:rsid w:val="00E52FF7"/>
    <w:rsid w:val="00E530DF"/>
    <w:rsid w:val="00E5329F"/>
    <w:rsid w:val="00E539D8"/>
    <w:rsid w:val="00E53E99"/>
    <w:rsid w:val="00E54967"/>
    <w:rsid w:val="00E54ECA"/>
    <w:rsid w:val="00E5516D"/>
    <w:rsid w:val="00E56485"/>
    <w:rsid w:val="00E607E1"/>
    <w:rsid w:val="00E60BBE"/>
    <w:rsid w:val="00E613B3"/>
    <w:rsid w:val="00E61742"/>
    <w:rsid w:val="00E626B6"/>
    <w:rsid w:val="00E62784"/>
    <w:rsid w:val="00E6289C"/>
    <w:rsid w:val="00E62BF1"/>
    <w:rsid w:val="00E62EC8"/>
    <w:rsid w:val="00E63519"/>
    <w:rsid w:val="00E63DE9"/>
    <w:rsid w:val="00E64582"/>
    <w:rsid w:val="00E64A5C"/>
    <w:rsid w:val="00E64F6F"/>
    <w:rsid w:val="00E65076"/>
    <w:rsid w:val="00E65658"/>
    <w:rsid w:val="00E65DB1"/>
    <w:rsid w:val="00E65F43"/>
    <w:rsid w:val="00E66024"/>
    <w:rsid w:val="00E66A76"/>
    <w:rsid w:val="00E66AD7"/>
    <w:rsid w:val="00E66F57"/>
    <w:rsid w:val="00E67335"/>
    <w:rsid w:val="00E70057"/>
    <w:rsid w:val="00E7009E"/>
    <w:rsid w:val="00E70A6F"/>
    <w:rsid w:val="00E70C46"/>
    <w:rsid w:val="00E71CFB"/>
    <w:rsid w:val="00E7217F"/>
    <w:rsid w:val="00E729E3"/>
    <w:rsid w:val="00E72A64"/>
    <w:rsid w:val="00E72F3E"/>
    <w:rsid w:val="00E742C0"/>
    <w:rsid w:val="00E745B2"/>
    <w:rsid w:val="00E75270"/>
    <w:rsid w:val="00E766D5"/>
    <w:rsid w:val="00E769E4"/>
    <w:rsid w:val="00E76D0F"/>
    <w:rsid w:val="00E7736F"/>
    <w:rsid w:val="00E774E7"/>
    <w:rsid w:val="00E776E5"/>
    <w:rsid w:val="00E77CD6"/>
    <w:rsid w:val="00E80679"/>
    <w:rsid w:val="00E80849"/>
    <w:rsid w:val="00E81014"/>
    <w:rsid w:val="00E84FAA"/>
    <w:rsid w:val="00E85687"/>
    <w:rsid w:val="00E85D09"/>
    <w:rsid w:val="00E86038"/>
    <w:rsid w:val="00E8688A"/>
    <w:rsid w:val="00E86E8A"/>
    <w:rsid w:val="00E87C13"/>
    <w:rsid w:val="00E91062"/>
    <w:rsid w:val="00E914E4"/>
    <w:rsid w:val="00E921A6"/>
    <w:rsid w:val="00E923B7"/>
    <w:rsid w:val="00E92468"/>
    <w:rsid w:val="00E92C4D"/>
    <w:rsid w:val="00E93B19"/>
    <w:rsid w:val="00E93D61"/>
    <w:rsid w:val="00E9410D"/>
    <w:rsid w:val="00E946AF"/>
    <w:rsid w:val="00E94D5E"/>
    <w:rsid w:val="00E94E16"/>
    <w:rsid w:val="00E95B6A"/>
    <w:rsid w:val="00E960C4"/>
    <w:rsid w:val="00E966E9"/>
    <w:rsid w:val="00E96B19"/>
    <w:rsid w:val="00E97119"/>
    <w:rsid w:val="00E9799E"/>
    <w:rsid w:val="00E97ECA"/>
    <w:rsid w:val="00EA19D5"/>
    <w:rsid w:val="00EA1EAD"/>
    <w:rsid w:val="00EA20EA"/>
    <w:rsid w:val="00EA2613"/>
    <w:rsid w:val="00EA3144"/>
    <w:rsid w:val="00EA423E"/>
    <w:rsid w:val="00EA53A8"/>
    <w:rsid w:val="00EA5678"/>
    <w:rsid w:val="00EA5AA9"/>
    <w:rsid w:val="00EA685A"/>
    <w:rsid w:val="00EA72EE"/>
    <w:rsid w:val="00EA756A"/>
    <w:rsid w:val="00EA7B26"/>
    <w:rsid w:val="00EA7BDD"/>
    <w:rsid w:val="00EB0059"/>
    <w:rsid w:val="00EB152B"/>
    <w:rsid w:val="00EB1847"/>
    <w:rsid w:val="00EB2376"/>
    <w:rsid w:val="00EB2523"/>
    <w:rsid w:val="00EB30A6"/>
    <w:rsid w:val="00EB3146"/>
    <w:rsid w:val="00EB3246"/>
    <w:rsid w:val="00EB38DB"/>
    <w:rsid w:val="00EB3E77"/>
    <w:rsid w:val="00EB433E"/>
    <w:rsid w:val="00EB4475"/>
    <w:rsid w:val="00EB44B2"/>
    <w:rsid w:val="00EB4737"/>
    <w:rsid w:val="00EB4F91"/>
    <w:rsid w:val="00EB5848"/>
    <w:rsid w:val="00EB5EE9"/>
    <w:rsid w:val="00EB675F"/>
    <w:rsid w:val="00EB6E1A"/>
    <w:rsid w:val="00EB7AC2"/>
    <w:rsid w:val="00EB7C15"/>
    <w:rsid w:val="00EC0676"/>
    <w:rsid w:val="00EC0B77"/>
    <w:rsid w:val="00EC0D59"/>
    <w:rsid w:val="00EC141A"/>
    <w:rsid w:val="00EC2FBB"/>
    <w:rsid w:val="00EC3229"/>
    <w:rsid w:val="00EC49F6"/>
    <w:rsid w:val="00EC4D56"/>
    <w:rsid w:val="00EC559D"/>
    <w:rsid w:val="00EC5DD9"/>
    <w:rsid w:val="00EC5F78"/>
    <w:rsid w:val="00EC6568"/>
    <w:rsid w:val="00EC7451"/>
    <w:rsid w:val="00EC75B0"/>
    <w:rsid w:val="00ED0A03"/>
    <w:rsid w:val="00ED0ED0"/>
    <w:rsid w:val="00ED1193"/>
    <w:rsid w:val="00ED11F9"/>
    <w:rsid w:val="00ED196F"/>
    <w:rsid w:val="00ED22E5"/>
    <w:rsid w:val="00ED2A1C"/>
    <w:rsid w:val="00ED3A03"/>
    <w:rsid w:val="00ED4265"/>
    <w:rsid w:val="00ED556B"/>
    <w:rsid w:val="00ED6907"/>
    <w:rsid w:val="00ED71DF"/>
    <w:rsid w:val="00ED7714"/>
    <w:rsid w:val="00ED77F4"/>
    <w:rsid w:val="00ED79DE"/>
    <w:rsid w:val="00ED7D98"/>
    <w:rsid w:val="00EE0242"/>
    <w:rsid w:val="00EE03D0"/>
    <w:rsid w:val="00EE2724"/>
    <w:rsid w:val="00EE318B"/>
    <w:rsid w:val="00EE4BF2"/>
    <w:rsid w:val="00EE520F"/>
    <w:rsid w:val="00EE52C6"/>
    <w:rsid w:val="00EE5772"/>
    <w:rsid w:val="00EF0FFC"/>
    <w:rsid w:val="00EF2163"/>
    <w:rsid w:val="00EF2D69"/>
    <w:rsid w:val="00EF34ED"/>
    <w:rsid w:val="00EF3679"/>
    <w:rsid w:val="00EF4A6B"/>
    <w:rsid w:val="00EF5A96"/>
    <w:rsid w:val="00EF5ED5"/>
    <w:rsid w:val="00EF61B0"/>
    <w:rsid w:val="00EF6242"/>
    <w:rsid w:val="00EF631B"/>
    <w:rsid w:val="00EF694E"/>
    <w:rsid w:val="00F00272"/>
    <w:rsid w:val="00F0212B"/>
    <w:rsid w:val="00F02F46"/>
    <w:rsid w:val="00F031D7"/>
    <w:rsid w:val="00F049AF"/>
    <w:rsid w:val="00F04C31"/>
    <w:rsid w:val="00F05156"/>
    <w:rsid w:val="00F056CD"/>
    <w:rsid w:val="00F06BCA"/>
    <w:rsid w:val="00F06CB8"/>
    <w:rsid w:val="00F10166"/>
    <w:rsid w:val="00F1045F"/>
    <w:rsid w:val="00F10E33"/>
    <w:rsid w:val="00F11A65"/>
    <w:rsid w:val="00F1301A"/>
    <w:rsid w:val="00F137EA"/>
    <w:rsid w:val="00F139EB"/>
    <w:rsid w:val="00F14DED"/>
    <w:rsid w:val="00F1529A"/>
    <w:rsid w:val="00F157D8"/>
    <w:rsid w:val="00F1593F"/>
    <w:rsid w:val="00F16B44"/>
    <w:rsid w:val="00F17AB1"/>
    <w:rsid w:val="00F207C1"/>
    <w:rsid w:val="00F20EA9"/>
    <w:rsid w:val="00F21447"/>
    <w:rsid w:val="00F21FAA"/>
    <w:rsid w:val="00F2269D"/>
    <w:rsid w:val="00F22CDA"/>
    <w:rsid w:val="00F239EA"/>
    <w:rsid w:val="00F24518"/>
    <w:rsid w:val="00F25097"/>
    <w:rsid w:val="00F25CD6"/>
    <w:rsid w:val="00F26630"/>
    <w:rsid w:val="00F26A51"/>
    <w:rsid w:val="00F26D1E"/>
    <w:rsid w:val="00F3092C"/>
    <w:rsid w:val="00F31230"/>
    <w:rsid w:val="00F31809"/>
    <w:rsid w:val="00F31A2B"/>
    <w:rsid w:val="00F32D2E"/>
    <w:rsid w:val="00F341A7"/>
    <w:rsid w:val="00F3454D"/>
    <w:rsid w:val="00F34649"/>
    <w:rsid w:val="00F34D22"/>
    <w:rsid w:val="00F3538C"/>
    <w:rsid w:val="00F36A6B"/>
    <w:rsid w:val="00F3796E"/>
    <w:rsid w:val="00F413F1"/>
    <w:rsid w:val="00F41B62"/>
    <w:rsid w:val="00F42054"/>
    <w:rsid w:val="00F42DCE"/>
    <w:rsid w:val="00F439ED"/>
    <w:rsid w:val="00F443E9"/>
    <w:rsid w:val="00F445E0"/>
    <w:rsid w:val="00F452A8"/>
    <w:rsid w:val="00F458B2"/>
    <w:rsid w:val="00F47443"/>
    <w:rsid w:val="00F4756F"/>
    <w:rsid w:val="00F47FE5"/>
    <w:rsid w:val="00F5057A"/>
    <w:rsid w:val="00F5060A"/>
    <w:rsid w:val="00F51B1B"/>
    <w:rsid w:val="00F5210E"/>
    <w:rsid w:val="00F5211D"/>
    <w:rsid w:val="00F536EF"/>
    <w:rsid w:val="00F53D4F"/>
    <w:rsid w:val="00F54520"/>
    <w:rsid w:val="00F54FF8"/>
    <w:rsid w:val="00F556E8"/>
    <w:rsid w:val="00F56071"/>
    <w:rsid w:val="00F565B8"/>
    <w:rsid w:val="00F57518"/>
    <w:rsid w:val="00F575E7"/>
    <w:rsid w:val="00F5769A"/>
    <w:rsid w:val="00F5771A"/>
    <w:rsid w:val="00F6150D"/>
    <w:rsid w:val="00F617EE"/>
    <w:rsid w:val="00F61A73"/>
    <w:rsid w:val="00F61F96"/>
    <w:rsid w:val="00F620EF"/>
    <w:rsid w:val="00F6240F"/>
    <w:rsid w:val="00F646C2"/>
    <w:rsid w:val="00F65055"/>
    <w:rsid w:val="00F66447"/>
    <w:rsid w:val="00F66475"/>
    <w:rsid w:val="00F675A0"/>
    <w:rsid w:val="00F67E69"/>
    <w:rsid w:val="00F71268"/>
    <w:rsid w:val="00F717D2"/>
    <w:rsid w:val="00F71A07"/>
    <w:rsid w:val="00F71A2D"/>
    <w:rsid w:val="00F72771"/>
    <w:rsid w:val="00F72C09"/>
    <w:rsid w:val="00F72E1A"/>
    <w:rsid w:val="00F73175"/>
    <w:rsid w:val="00F73414"/>
    <w:rsid w:val="00F736E6"/>
    <w:rsid w:val="00F73E5D"/>
    <w:rsid w:val="00F74F81"/>
    <w:rsid w:val="00F7556B"/>
    <w:rsid w:val="00F75EC3"/>
    <w:rsid w:val="00F77483"/>
    <w:rsid w:val="00F77BF7"/>
    <w:rsid w:val="00F81457"/>
    <w:rsid w:val="00F8174F"/>
    <w:rsid w:val="00F82BE6"/>
    <w:rsid w:val="00F8321D"/>
    <w:rsid w:val="00F83255"/>
    <w:rsid w:val="00F8377D"/>
    <w:rsid w:val="00F845AF"/>
    <w:rsid w:val="00F8468A"/>
    <w:rsid w:val="00F84E4C"/>
    <w:rsid w:val="00F85341"/>
    <w:rsid w:val="00F85531"/>
    <w:rsid w:val="00F85FDF"/>
    <w:rsid w:val="00F8666E"/>
    <w:rsid w:val="00F9074A"/>
    <w:rsid w:val="00F90AE7"/>
    <w:rsid w:val="00F90F10"/>
    <w:rsid w:val="00F920A3"/>
    <w:rsid w:val="00F939DA"/>
    <w:rsid w:val="00F948FE"/>
    <w:rsid w:val="00F9574F"/>
    <w:rsid w:val="00F95981"/>
    <w:rsid w:val="00F9624F"/>
    <w:rsid w:val="00F96272"/>
    <w:rsid w:val="00F96571"/>
    <w:rsid w:val="00F965D2"/>
    <w:rsid w:val="00F96A82"/>
    <w:rsid w:val="00F96F19"/>
    <w:rsid w:val="00F9761D"/>
    <w:rsid w:val="00F976AA"/>
    <w:rsid w:val="00FA0119"/>
    <w:rsid w:val="00FA077B"/>
    <w:rsid w:val="00FA15FC"/>
    <w:rsid w:val="00FA1A76"/>
    <w:rsid w:val="00FA1B4E"/>
    <w:rsid w:val="00FA25AF"/>
    <w:rsid w:val="00FA270E"/>
    <w:rsid w:val="00FA284D"/>
    <w:rsid w:val="00FA408D"/>
    <w:rsid w:val="00FA42D5"/>
    <w:rsid w:val="00FA48B6"/>
    <w:rsid w:val="00FA709B"/>
    <w:rsid w:val="00FA7377"/>
    <w:rsid w:val="00FB0CC4"/>
    <w:rsid w:val="00FB15AB"/>
    <w:rsid w:val="00FB1634"/>
    <w:rsid w:val="00FB2D50"/>
    <w:rsid w:val="00FB2F5C"/>
    <w:rsid w:val="00FB3914"/>
    <w:rsid w:val="00FB3BFE"/>
    <w:rsid w:val="00FB3F68"/>
    <w:rsid w:val="00FB4026"/>
    <w:rsid w:val="00FB442C"/>
    <w:rsid w:val="00FB4631"/>
    <w:rsid w:val="00FB762C"/>
    <w:rsid w:val="00FB7D72"/>
    <w:rsid w:val="00FC1299"/>
    <w:rsid w:val="00FC1336"/>
    <w:rsid w:val="00FC146D"/>
    <w:rsid w:val="00FC2062"/>
    <w:rsid w:val="00FC2538"/>
    <w:rsid w:val="00FC25C4"/>
    <w:rsid w:val="00FC304D"/>
    <w:rsid w:val="00FC3247"/>
    <w:rsid w:val="00FC341E"/>
    <w:rsid w:val="00FC35AE"/>
    <w:rsid w:val="00FC4325"/>
    <w:rsid w:val="00FC475C"/>
    <w:rsid w:val="00FC485A"/>
    <w:rsid w:val="00FC5A68"/>
    <w:rsid w:val="00FC5B52"/>
    <w:rsid w:val="00FC62C7"/>
    <w:rsid w:val="00FD03D9"/>
    <w:rsid w:val="00FD086A"/>
    <w:rsid w:val="00FD0D6D"/>
    <w:rsid w:val="00FD13D6"/>
    <w:rsid w:val="00FD1463"/>
    <w:rsid w:val="00FD33F9"/>
    <w:rsid w:val="00FD52F4"/>
    <w:rsid w:val="00FD534C"/>
    <w:rsid w:val="00FD5437"/>
    <w:rsid w:val="00FD5DB8"/>
    <w:rsid w:val="00FD60A8"/>
    <w:rsid w:val="00FD671E"/>
    <w:rsid w:val="00FE063D"/>
    <w:rsid w:val="00FE07F9"/>
    <w:rsid w:val="00FE0C7F"/>
    <w:rsid w:val="00FE1AEB"/>
    <w:rsid w:val="00FE2F78"/>
    <w:rsid w:val="00FE392E"/>
    <w:rsid w:val="00FE4429"/>
    <w:rsid w:val="00FE4DAD"/>
    <w:rsid w:val="00FE52A5"/>
    <w:rsid w:val="00FE5485"/>
    <w:rsid w:val="00FE6162"/>
    <w:rsid w:val="00FE63B0"/>
    <w:rsid w:val="00FE6562"/>
    <w:rsid w:val="00FE6642"/>
    <w:rsid w:val="00FE7B74"/>
    <w:rsid w:val="00FF0510"/>
    <w:rsid w:val="00FF057F"/>
    <w:rsid w:val="00FF11A2"/>
    <w:rsid w:val="00FF20F1"/>
    <w:rsid w:val="00FF23AA"/>
    <w:rsid w:val="00FF2D51"/>
    <w:rsid w:val="00FF3B86"/>
    <w:rsid w:val="00FF4C06"/>
    <w:rsid w:val="00FF561E"/>
    <w:rsid w:val="00FF56AE"/>
    <w:rsid w:val="00FF572B"/>
    <w:rsid w:val="00FF5851"/>
    <w:rsid w:val="00FF6CF4"/>
    <w:rsid w:val="00FF6D3D"/>
    <w:rsid w:val="00FF6D4E"/>
    <w:rsid w:val="00FF7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ersonNam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93C36"/>
    <w:rPr>
      <w:rFonts w:ascii="Arial" w:hAnsi="Arial" w:cs="Arial"/>
      <w:lang w:val="en-NZ"/>
    </w:rPr>
  </w:style>
  <w:style w:type="paragraph" w:styleId="Heading1">
    <w:name w:val="heading 1"/>
    <w:basedOn w:val="Normal"/>
    <w:next w:val="Normal"/>
    <w:link w:val="Heading1Char"/>
    <w:uiPriority w:val="99"/>
    <w:qFormat/>
    <w:rsid w:val="00DA6C2F"/>
    <w:pPr>
      <w:numPr>
        <w:numId w:val="2"/>
      </w:numPr>
      <w:pBdr>
        <w:bottom w:val="single" w:sz="12" w:space="1" w:color="17365D"/>
      </w:pBdr>
      <w:tabs>
        <w:tab w:val="left" w:pos="-1440"/>
        <w:tab w:val="left" w:pos="2160"/>
        <w:tab w:val="left" w:pos="2880"/>
        <w:tab w:val="left" w:pos="3600"/>
        <w:tab w:val="left" w:pos="5040"/>
        <w:tab w:val="left" w:pos="5760"/>
        <w:tab w:val="left" w:pos="6480"/>
        <w:tab w:val="left" w:pos="7200"/>
      </w:tabs>
      <w:spacing w:before="90" w:after="90"/>
      <w:outlineLvl w:val="0"/>
    </w:pPr>
    <w:rPr>
      <w:rFonts w:ascii="Arial Bold" w:hAnsi="Arial Bold"/>
      <w:b/>
      <w:color w:val="17365D"/>
      <w:kern w:val="28"/>
      <w:sz w:val="24"/>
      <w:lang w:val="en-GB"/>
    </w:rPr>
  </w:style>
  <w:style w:type="paragraph" w:styleId="Heading2">
    <w:name w:val="heading 2"/>
    <w:basedOn w:val="Normal"/>
    <w:next w:val="BodyText"/>
    <w:link w:val="Heading2Char"/>
    <w:uiPriority w:val="99"/>
    <w:qFormat/>
    <w:rsid w:val="0086429D"/>
    <w:pPr>
      <w:numPr>
        <w:ilvl w:val="1"/>
        <w:numId w:val="2"/>
      </w:numPr>
      <w:tabs>
        <w:tab w:val="left" w:pos="-1440"/>
        <w:tab w:val="left" w:pos="2160"/>
        <w:tab w:val="left" w:pos="2880"/>
        <w:tab w:val="left" w:pos="5040"/>
        <w:tab w:val="left" w:pos="5760"/>
        <w:tab w:val="left" w:pos="6480"/>
        <w:tab w:val="left" w:pos="7200"/>
      </w:tabs>
      <w:outlineLvl w:val="1"/>
    </w:pPr>
    <w:rPr>
      <w:rFonts w:ascii="Arial Bold" w:hAnsi="Arial Bold"/>
      <w:b/>
      <w:u w:val="single"/>
    </w:rPr>
  </w:style>
  <w:style w:type="paragraph" w:styleId="Heading3">
    <w:name w:val="heading 3"/>
    <w:basedOn w:val="Normal"/>
    <w:next w:val="Normal"/>
    <w:link w:val="Heading3Char"/>
    <w:uiPriority w:val="99"/>
    <w:qFormat/>
    <w:rsid w:val="002E1AEC"/>
    <w:pPr>
      <w:numPr>
        <w:numId w:val="3"/>
      </w:numPr>
      <w:tabs>
        <w:tab w:val="left" w:pos="-1440"/>
        <w:tab w:val="left" w:pos="2160"/>
        <w:tab w:val="left" w:pos="2880"/>
        <w:tab w:val="left" w:pos="3600"/>
        <w:tab w:val="left" w:pos="5040"/>
        <w:tab w:val="left" w:pos="5760"/>
        <w:tab w:val="left" w:pos="6480"/>
        <w:tab w:val="left" w:pos="7200"/>
      </w:tabs>
      <w:spacing w:after="60"/>
      <w:outlineLvl w:val="2"/>
    </w:pPr>
    <w:rPr>
      <w:bCs/>
      <w:lang w:val="en-GB"/>
    </w:rPr>
  </w:style>
  <w:style w:type="paragraph" w:styleId="Heading4">
    <w:name w:val="heading 4"/>
    <w:basedOn w:val="Normal"/>
    <w:next w:val="Normal"/>
    <w:link w:val="Heading4Char"/>
    <w:uiPriority w:val="99"/>
    <w:qFormat/>
    <w:rsid w:val="00F948FE"/>
    <w:pPr>
      <w:keepNext/>
      <w:numPr>
        <w:ilvl w:val="3"/>
        <w:numId w:val="1"/>
      </w:numPr>
      <w:tabs>
        <w:tab w:val="left" w:pos="-1440"/>
        <w:tab w:val="left" w:pos="2160"/>
        <w:tab w:val="left" w:pos="2880"/>
        <w:tab w:val="left" w:pos="3600"/>
        <w:tab w:val="left" w:pos="5760"/>
        <w:tab w:val="left" w:pos="6480"/>
        <w:tab w:val="left" w:pos="7200"/>
      </w:tabs>
      <w:spacing w:before="240" w:after="60"/>
      <w:outlineLvl w:val="3"/>
    </w:pPr>
    <w:rPr>
      <w:b/>
      <w:sz w:val="24"/>
      <w:lang w:val="en-GB"/>
    </w:rPr>
  </w:style>
  <w:style w:type="paragraph" w:styleId="Heading5">
    <w:name w:val="heading 5"/>
    <w:basedOn w:val="Normal"/>
    <w:next w:val="Normal"/>
    <w:link w:val="Heading5Char"/>
    <w:uiPriority w:val="99"/>
    <w:qFormat/>
    <w:rsid w:val="00F948FE"/>
    <w:pPr>
      <w:numPr>
        <w:ilvl w:val="4"/>
        <w:numId w:val="1"/>
      </w:numPr>
      <w:tabs>
        <w:tab w:val="left" w:pos="-1440"/>
        <w:tab w:val="left" w:pos="2160"/>
        <w:tab w:val="left" w:pos="2880"/>
        <w:tab w:val="left" w:pos="3600"/>
        <w:tab w:val="left" w:pos="5040"/>
        <w:tab w:val="left" w:pos="6480"/>
        <w:tab w:val="left" w:pos="7200"/>
      </w:tabs>
      <w:spacing w:before="240" w:after="60"/>
      <w:outlineLvl w:val="4"/>
    </w:pPr>
    <w:rPr>
      <w:lang w:val="en-GB"/>
    </w:rPr>
  </w:style>
  <w:style w:type="paragraph" w:styleId="Heading6">
    <w:name w:val="heading 6"/>
    <w:basedOn w:val="Normal"/>
    <w:next w:val="Normal"/>
    <w:link w:val="Heading6Char"/>
    <w:uiPriority w:val="99"/>
    <w:qFormat/>
    <w:rsid w:val="00F948FE"/>
    <w:pPr>
      <w:numPr>
        <w:ilvl w:val="5"/>
        <w:numId w:val="1"/>
      </w:numPr>
      <w:tabs>
        <w:tab w:val="left" w:pos="-1440"/>
        <w:tab w:val="left" w:pos="2160"/>
        <w:tab w:val="left" w:pos="2880"/>
        <w:tab w:val="left" w:pos="3600"/>
        <w:tab w:val="left" w:pos="5040"/>
        <w:tab w:val="left" w:pos="5760"/>
        <w:tab w:val="left" w:pos="7200"/>
      </w:tabs>
      <w:spacing w:before="240" w:after="60"/>
      <w:outlineLvl w:val="5"/>
    </w:pPr>
    <w:rPr>
      <w:i/>
      <w:lang w:val="en-GB"/>
    </w:rPr>
  </w:style>
  <w:style w:type="paragraph" w:styleId="Heading7">
    <w:name w:val="heading 7"/>
    <w:basedOn w:val="Normal"/>
    <w:next w:val="Normal"/>
    <w:link w:val="Heading7Char"/>
    <w:uiPriority w:val="99"/>
    <w:qFormat/>
    <w:rsid w:val="00F948FE"/>
    <w:pPr>
      <w:numPr>
        <w:ilvl w:val="6"/>
        <w:numId w:val="1"/>
      </w:numPr>
      <w:tabs>
        <w:tab w:val="left" w:pos="-1440"/>
        <w:tab w:val="left" w:pos="2160"/>
        <w:tab w:val="left" w:pos="2880"/>
        <w:tab w:val="left" w:pos="3600"/>
        <w:tab w:val="left" w:pos="5040"/>
        <w:tab w:val="left" w:pos="5760"/>
        <w:tab w:val="left" w:pos="6480"/>
      </w:tabs>
      <w:spacing w:before="240" w:after="60"/>
      <w:outlineLvl w:val="6"/>
    </w:pPr>
    <w:rPr>
      <w:sz w:val="20"/>
      <w:lang w:val="en-GB"/>
    </w:rPr>
  </w:style>
  <w:style w:type="paragraph" w:styleId="Heading8">
    <w:name w:val="heading 8"/>
    <w:basedOn w:val="Normal"/>
    <w:next w:val="Normal"/>
    <w:link w:val="Heading8Char"/>
    <w:uiPriority w:val="99"/>
    <w:qFormat/>
    <w:rsid w:val="00F948FE"/>
    <w:pPr>
      <w:numPr>
        <w:ilvl w:val="7"/>
        <w:numId w:val="1"/>
      </w:numPr>
      <w:tabs>
        <w:tab w:val="left" w:pos="-1440"/>
        <w:tab w:val="left" w:pos="2160"/>
        <w:tab w:val="left" w:pos="2880"/>
        <w:tab w:val="left" w:pos="3600"/>
        <w:tab w:val="left" w:pos="5040"/>
        <w:tab w:val="left" w:pos="5760"/>
        <w:tab w:val="left" w:pos="6480"/>
        <w:tab w:val="left" w:pos="7200"/>
      </w:tabs>
      <w:spacing w:before="240" w:after="60"/>
      <w:outlineLvl w:val="7"/>
    </w:pPr>
    <w:rPr>
      <w:i/>
      <w:sz w:val="20"/>
      <w:lang w:val="en-GB"/>
    </w:rPr>
  </w:style>
  <w:style w:type="paragraph" w:styleId="Heading9">
    <w:name w:val="heading 9"/>
    <w:basedOn w:val="Normal"/>
    <w:next w:val="Normal"/>
    <w:link w:val="Heading9Char"/>
    <w:uiPriority w:val="99"/>
    <w:qFormat/>
    <w:rsid w:val="00F948FE"/>
    <w:pPr>
      <w:numPr>
        <w:ilvl w:val="8"/>
        <w:numId w:val="1"/>
      </w:numPr>
      <w:tabs>
        <w:tab w:val="left" w:pos="-1440"/>
        <w:tab w:val="left" w:pos="2160"/>
        <w:tab w:val="left" w:pos="2880"/>
        <w:tab w:val="left" w:pos="3600"/>
        <w:tab w:val="left" w:pos="5040"/>
        <w:tab w:val="left" w:pos="5760"/>
        <w:tab w:val="left" w:pos="6480"/>
        <w:tab w:val="left" w:pos="7200"/>
      </w:tabs>
      <w:spacing w:before="240" w:after="60"/>
      <w:outlineLvl w:val="8"/>
    </w:pPr>
    <w:rPr>
      <w:b/>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13FA1"/>
    <w:rPr>
      <w:rFonts w:ascii="Arial Bold" w:hAnsi="Arial Bold" w:cs="Arial"/>
      <w:b/>
      <w:color w:val="17365D"/>
      <w:kern w:val="28"/>
      <w:sz w:val="24"/>
      <w:lang w:val="en-GB"/>
    </w:rPr>
  </w:style>
  <w:style w:type="character" w:customStyle="1" w:styleId="Heading2Char">
    <w:name w:val="Heading 2 Char"/>
    <w:basedOn w:val="DefaultParagraphFont"/>
    <w:link w:val="Heading2"/>
    <w:uiPriority w:val="99"/>
    <w:locked/>
    <w:rsid w:val="00D13FA1"/>
    <w:rPr>
      <w:rFonts w:ascii="Arial Bold" w:hAnsi="Arial Bold" w:cs="Arial"/>
      <w:b/>
      <w:u w:val="single"/>
      <w:lang w:val="en-NZ"/>
    </w:rPr>
  </w:style>
  <w:style w:type="character" w:customStyle="1" w:styleId="Heading3Char">
    <w:name w:val="Heading 3 Char"/>
    <w:basedOn w:val="DefaultParagraphFont"/>
    <w:link w:val="Heading3"/>
    <w:uiPriority w:val="99"/>
    <w:locked/>
    <w:rsid w:val="00D13FA1"/>
    <w:rPr>
      <w:rFonts w:ascii="Arial" w:hAnsi="Arial" w:cs="Arial"/>
      <w:bCs/>
      <w:lang w:val="en-GB"/>
    </w:rPr>
  </w:style>
  <w:style w:type="character" w:customStyle="1" w:styleId="Heading4Char">
    <w:name w:val="Heading 4 Char"/>
    <w:basedOn w:val="DefaultParagraphFont"/>
    <w:link w:val="Heading4"/>
    <w:uiPriority w:val="99"/>
    <w:locked/>
    <w:rsid w:val="00D13FA1"/>
    <w:rPr>
      <w:rFonts w:ascii="Arial" w:hAnsi="Arial" w:cs="Arial"/>
      <w:b/>
      <w:sz w:val="24"/>
      <w:lang w:val="en-GB"/>
    </w:rPr>
  </w:style>
  <w:style w:type="character" w:customStyle="1" w:styleId="Heading5Char">
    <w:name w:val="Heading 5 Char"/>
    <w:basedOn w:val="DefaultParagraphFont"/>
    <w:link w:val="Heading5"/>
    <w:uiPriority w:val="99"/>
    <w:locked/>
    <w:rsid w:val="00D13FA1"/>
    <w:rPr>
      <w:rFonts w:ascii="Arial" w:hAnsi="Arial" w:cs="Arial"/>
      <w:lang w:val="en-GB"/>
    </w:rPr>
  </w:style>
  <w:style w:type="character" w:customStyle="1" w:styleId="Heading6Char">
    <w:name w:val="Heading 6 Char"/>
    <w:basedOn w:val="DefaultParagraphFont"/>
    <w:link w:val="Heading6"/>
    <w:uiPriority w:val="99"/>
    <w:locked/>
    <w:rsid w:val="00D13FA1"/>
    <w:rPr>
      <w:rFonts w:ascii="Arial" w:hAnsi="Arial" w:cs="Arial"/>
      <w:i/>
      <w:lang w:val="en-GB"/>
    </w:rPr>
  </w:style>
  <w:style w:type="character" w:customStyle="1" w:styleId="Heading7Char">
    <w:name w:val="Heading 7 Char"/>
    <w:basedOn w:val="DefaultParagraphFont"/>
    <w:link w:val="Heading7"/>
    <w:uiPriority w:val="99"/>
    <w:locked/>
    <w:rsid w:val="00D13FA1"/>
    <w:rPr>
      <w:rFonts w:ascii="Arial" w:hAnsi="Arial" w:cs="Arial"/>
      <w:sz w:val="20"/>
      <w:lang w:val="en-GB"/>
    </w:rPr>
  </w:style>
  <w:style w:type="character" w:customStyle="1" w:styleId="Heading8Char">
    <w:name w:val="Heading 8 Char"/>
    <w:basedOn w:val="DefaultParagraphFont"/>
    <w:link w:val="Heading8"/>
    <w:uiPriority w:val="99"/>
    <w:locked/>
    <w:rsid w:val="00D13FA1"/>
    <w:rPr>
      <w:rFonts w:ascii="Arial" w:hAnsi="Arial" w:cs="Arial"/>
      <w:i/>
      <w:sz w:val="20"/>
      <w:lang w:val="en-GB"/>
    </w:rPr>
  </w:style>
  <w:style w:type="character" w:customStyle="1" w:styleId="Heading9Char">
    <w:name w:val="Heading 9 Char"/>
    <w:basedOn w:val="DefaultParagraphFont"/>
    <w:link w:val="Heading9"/>
    <w:uiPriority w:val="99"/>
    <w:locked/>
    <w:rsid w:val="00D13FA1"/>
    <w:rPr>
      <w:rFonts w:ascii="Arial" w:hAnsi="Arial" w:cs="Arial"/>
      <w:b/>
      <w:i/>
      <w:sz w:val="18"/>
      <w:lang w:val="en-GB"/>
    </w:rPr>
  </w:style>
  <w:style w:type="paragraph" w:styleId="Header">
    <w:name w:val="header"/>
    <w:basedOn w:val="Normal"/>
    <w:link w:val="HeaderChar"/>
    <w:uiPriority w:val="99"/>
    <w:rsid w:val="00DC0015"/>
    <w:pPr>
      <w:tabs>
        <w:tab w:val="center" w:pos="4320"/>
        <w:tab w:val="right" w:pos="8640"/>
      </w:tabs>
    </w:pPr>
  </w:style>
  <w:style w:type="character" w:customStyle="1" w:styleId="HeaderChar">
    <w:name w:val="Header Char"/>
    <w:basedOn w:val="DefaultParagraphFont"/>
    <w:link w:val="Header"/>
    <w:uiPriority w:val="99"/>
    <w:semiHidden/>
    <w:locked/>
    <w:rsid w:val="00D13FA1"/>
    <w:rPr>
      <w:rFonts w:ascii="Arial" w:hAnsi="Arial" w:cs="Arial"/>
      <w:lang w:val="en-NZ"/>
    </w:rPr>
  </w:style>
  <w:style w:type="paragraph" w:styleId="Footer">
    <w:name w:val="footer"/>
    <w:basedOn w:val="Normal"/>
    <w:link w:val="FooterChar"/>
    <w:uiPriority w:val="99"/>
    <w:rsid w:val="00DC0015"/>
    <w:pPr>
      <w:tabs>
        <w:tab w:val="center" w:pos="4320"/>
        <w:tab w:val="right" w:pos="8640"/>
      </w:tabs>
    </w:pPr>
  </w:style>
  <w:style w:type="character" w:customStyle="1" w:styleId="FooterChar">
    <w:name w:val="Footer Char"/>
    <w:basedOn w:val="DefaultParagraphFont"/>
    <w:link w:val="Footer"/>
    <w:uiPriority w:val="99"/>
    <w:semiHidden/>
    <w:locked/>
    <w:rsid w:val="00D13FA1"/>
    <w:rPr>
      <w:rFonts w:ascii="Arial" w:hAnsi="Arial" w:cs="Arial"/>
      <w:lang w:val="en-NZ"/>
    </w:rPr>
  </w:style>
  <w:style w:type="character" w:styleId="PageNumber">
    <w:name w:val="page number"/>
    <w:basedOn w:val="DefaultParagraphFont"/>
    <w:uiPriority w:val="99"/>
    <w:rsid w:val="00275A7D"/>
    <w:rPr>
      <w:rFonts w:cs="Times New Roman"/>
    </w:rPr>
  </w:style>
  <w:style w:type="paragraph" w:customStyle="1" w:styleId="Heading3LeftChar">
    <w:name w:val="Heading 3 + Left Char"/>
    <w:basedOn w:val="Heading3"/>
    <w:link w:val="Heading3LeftCharChar"/>
    <w:uiPriority w:val="99"/>
    <w:rsid w:val="00DC0015"/>
    <w:pPr>
      <w:tabs>
        <w:tab w:val="left" w:pos="440"/>
        <w:tab w:val="left" w:pos="880"/>
        <w:tab w:val="right" w:pos="9020"/>
      </w:tabs>
      <w:spacing w:after="0"/>
    </w:pPr>
    <w:rPr>
      <w:lang w:val="en-NZ"/>
    </w:rPr>
  </w:style>
  <w:style w:type="character" w:customStyle="1" w:styleId="Heading3LeftCharChar">
    <w:name w:val="Heading 3 + Left Char Char"/>
    <w:basedOn w:val="DefaultParagraphFont"/>
    <w:link w:val="Heading3LeftChar"/>
    <w:uiPriority w:val="99"/>
    <w:locked/>
    <w:rsid w:val="00DC0015"/>
    <w:rPr>
      <w:rFonts w:ascii="Arial" w:hAnsi="Arial" w:cs="Arial"/>
      <w:bCs/>
      <w:lang w:val="en-NZ"/>
    </w:rPr>
  </w:style>
  <w:style w:type="paragraph" w:styleId="BodyText">
    <w:name w:val="Body Text"/>
    <w:basedOn w:val="Normal"/>
    <w:link w:val="BodyTextChar"/>
    <w:uiPriority w:val="99"/>
    <w:rsid w:val="0086429D"/>
    <w:pPr>
      <w:spacing w:before="120" w:after="120"/>
      <w:ind w:left="720"/>
    </w:pPr>
    <w:rPr>
      <w:lang w:val="en-GB"/>
    </w:rPr>
  </w:style>
  <w:style w:type="character" w:customStyle="1" w:styleId="BodyTextChar">
    <w:name w:val="Body Text Char"/>
    <w:basedOn w:val="DefaultParagraphFont"/>
    <w:link w:val="BodyText"/>
    <w:uiPriority w:val="99"/>
    <w:semiHidden/>
    <w:locked/>
    <w:rsid w:val="00D13FA1"/>
    <w:rPr>
      <w:rFonts w:ascii="Arial" w:hAnsi="Arial" w:cs="Arial"/>
      <w:lang w:val="en-NZ"/>
    </w:rPr>
  </w:style>
  <w:style w:type="paragraph" w:styleId="TOC1">
    <w:name w:val="toc 1"/>
    <w:basedOn w:val="Normal"/>
    <w:next w:val="Normal"/>
    <w:autoRedefine/>
    <w:uiPriority w:val="99"/>
    <w:rsid w:val="00DA6C2F"/>
    <w:pPr>
      <w:tabs>
        <w:tab w:val="left" w:pos="480"/>
        <w:tab w:val="right" w:leader="dot" w:pos="9016"/>
      </w:tabs>
      <w:spacing w:before="160" w:after="120"/>
    </w:pPr>
    <w:rPr>
      <w:b/>
      <w:noProof/>
    </w:rPr>
  </w:style>
  <w:style w:type="paragraph" w:styleId="TOC2">
    <w:name w:val="toc 2"/>
    <w:basedOn w:val="Normal"/>
    <w:next w:val="Normal"/>
    <w:autoRedefine/>
    <w:uiPriority w:val="99"/>
    <w:rsid w:val="0025134D"/>
    <w:pPr>
      <w:tabs>
        <w:tab w:val="left" w:pos="522"/>
        <w:tab w:val="left" w:pos="1100"/>
        <w:tab w:val="right" w:leader="dot" w:pos="9016"/>
      </w:tabs>
      <w:spacing w:after="80"/>
      <w:ind w:left="522"/>
    </w:pPr>
    <w:rPr>
      <w:noProof/>
      <w:sz w:val="20"/>
    </w:rPr>
  </w:style>
  <w:style w:type="paragraph" w:styleId="TOC3">
    <w:name w:val="toc 3"/>
    <w:basedOn w:val="Normal"/>
    <w:next w:val="Normal"/>
    <w:autoRedefine/>
    <w:uiPriority w:val="99"/>
    <w:rsid w:val="000161F0"/>
    <w:pPr>
      <w:tabs>
        <w:tab w:val="left" w:pos="770"/>
        <w:tab w:val="right" w:leader="dot" w:pos="9016"/>
      </w:tabs>
      <w:ind w:left="440"/>
    </w:pPr>
  </w:style>
  <w:style w:type="character" w:styleId="Hyperlink">
    <w:name w:val="Hyperlink"/>
    <w:basedOn w:val="DefaultParagraphFont"/>
    <w:uiPriority w:val="99"/>
    <w:rsid w:val="00DA6C2F"/>
    <w:rPr>
      <w:rFonts w:cs="Times New Roman"/>
      <w:u w:val="single"/>
    </w:rPr>
  </w:style>
  <w:style w:type="paragraph" w:styleId="PlainText">
    <w:name w:val="Plain Text"/>
    <w:basedOn w:val="Normal"/>
    <w:link w:val="PlainTextChar"/>
    <w:uiPriority w:val="99"/>
    <w:rsid w:val="0092403E"/>
    <w:rPr>
      <w:rFonts w:ascii="Consolas" w:hAnsi="Consolas" w:cs="Times New Roman"/>
      <w:sz w:val="21"/>
      <w:szCs w:val="21"/>
    </w:rPr>
  </w:style>
  <w:style w:type="character" w:customStyle="1" w:styleId="PlainTextChar">
    <w:name w:val="Plain Text Char"/>
    <w:basedOn w:val="DefaultParagraphFont"/>
    <w:link w:val="PlainText"/>
    <w:uiPriority w:val="99"/>
    <w:locked/>
    <w:rsid w:val="0092403E"/>
    <w:rPr>
      <w:rFonts w:ascii="Consolas" w:hAnsi="Consolas" w:cs="Times New Roman"/>
      <w:sz w:val="21"/>
      <w:szCs w:val="21"/>
      <w:lang w:eastAsia="en-US"/>
    </w:rPr>
  </w:style>
  <w:style w:type="paragraph" w:styleId="FootnoteText">
    <w:name w:val="footnote text"/>
    <w:basedOn w:val="Normal"/>
    <w:link w:val="FootnoteTextChar"/>
    <w:uiPriority w:val="99"/>
    <w:rsid w:val="0092403E"/>
    <w:rPr>
      <w:sz w:val="20"/>
      <w:szCs w:val="20"/>
    </w:rPr>
  </w:style>
  <w:style w:type="character" w:customStyle="1" w:styleId="FootnoteTextChar">
    <w:name w:val="Footnote Text Char"/>
    <w:basedOn w:val="DefaultParagraphFont"/>
    <w:link w:val="FootnoteText"/>
    <w:uiPriority w:val="99"/>
    <w:locked/>
    <w:rsid w:val="0092403E"/>
    <w:rPr>
      <w:rFonts w:ascii="Arial" w:hAnsi="Arial" w:cs="Arial"/>
      <w:lang w:eastAsia="en-US"/>
    </w:rPr>
  </w:style>
  <w:style w:type="character" w:styleId="FootnoteReference">
    <w:name w:val="footnote reference"/>
    <w:basedOn w:val="DefaultParagraphFont"/>
    <w:uiPriority w:val="99"/>
    <w:rsid w:val="0092403E"/>
    <w:rPr>
      <w:rFonts w:cs="Times New Roman"/>
      <w:vertAlign w:val="superscript"/>
    </w:rPr>
  </w:style>
  <w:style w:type="paragraph" w:styleId="ListParagraph">
    <w:name w:val="List Paragraph"/>
    <w:basedOn w:val="Normal"/>
    <w:uiPriority w:val="99"/>
    <w:qFormat/>
    <w:rsid w:val="0092403E"/>
    <w:pPr>
      <w:ind w:left="720"/>
      <w:contextualSpacing/>
      <w:jc w:val="both"/>
    </w:pPr>
    <w:rPr>
      <w:rFonts w:cs="Times New Roman"/>
      <w:sz w:val="24"/>
      <w:szCs w:val="20"/>
    </w:rPr>
  </w:style>
  <w:style w:type="paragraph" w:styleId="BalloonText">
    <w:name w:val="Balloon Text"/>
    <w:basedOn w:val="Normal"/>
    <w:link w:val="BalloonTextChar"/>
    <w:uiPriority w:val="99"/>
    <w:rsid w:val="0092403E"/>
    <w:rPr>
      <w:rFonts w:ascii="Tahoma" w:hAnsi="Tahoma" w:cs="Tahoma"/>
      <w:sz w:val="16"/>
      <w:szCs w:val="16"/>
    </w:rPr>
  </w:style>
  <w:style w:type="character" w:customStyle="1" w:styleId="BalloonTextChar">
    <w:name w:val="Balloon Text Char"/>
    <w:basedOn w:val="DefaultParagraphFont"/>
    <w:link w:val="BalloonText"/>
    <w:uiPriority w:val="99"/>
    <w:locked/>
    <w:rsid w:val="0092403E"/>
    <w:rPr>
      <w:rFonts w:ascii="Tahoma" w:hAnsi="Tahoma" w:cs="Tahoma"/>
      <w:sz w:val="16"/>
      <w:szCs w:val="16"/>
      <w:lang w:eastAsia="en-US"/>
    </w:rPr>
  </w:style>
  <w:style w:type="paragraph" w:styleId="NormalWeb">
    <w:name w:val="Normal (Web)"/>
    <w:basedOn w:val="Normal"/>
    <w:uiPriority w:val="99"/>
    <w:rsid w:val="00E25071"/>
    <w:pPr>
      <w:spacing w:before="100" w:beforeAutospacing="1" w:after="100" w:afterAutospacing="1"/>
    </w:pPr>
    <w:rPr>
      <w:rFonts w:ascii="Times New Roman" w:hAnsi="Times New Roman" w:cs="Times New Roman"/>
      <w:sz w:val="24"/>
      <w:szCs w:val="24"/>
      <w:lang w:eastAsia="en-NZ"/>
    </w:rPr>
  </w:style>
  <w:style w:type="table" w:styleId="TableGrid">
    <w:name w:val="Table Grid"/>
    <w:basedOn w:val="TableNormal"/>
    <w:uiPriority w:val="99"/>
    <w:rsid w:val="002E26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D2170F"/>
    <w:pPr>
      <w:autoSpaceDE w:val="0"/>
      <w:autoSpaceDN w:val="0"/>
      <w:adjustRightInd w:val="0"/>
    </w:pPr>
    <w:rPr>
      <w:rFonts w:ascii="Arial" w:hAnsi="Arial" w:cs="Arial"/>
      <w:color w:val="000000"/>
      <w:sz w:val="24"/>
      <w:szCs w:val="24"/>
      <w:lang w:val="en-NZ" w:eastAsia="en-NZ"/>
    </w:rPr>
  </w:style>
  <w:style w:type="character" w:styleId="CommentReference">
    <w:name w:val="annotation reference"/>
    <w:basedOn w:val="DefaultParagraphFont"/>
    <w:uiPriority w:val="99"/>
    <w:semiHidden/>
    <w:unhideWhenUsed/>
    <w:locked/>
    <w:rsid w:val="00A556E5"/>
    <w:rPr>
      <w:sz w:val="16"/>
      <w:szCs w:val="16"/>
    </w:rPr>
  </w:style>
  <w:style w:type="paragraph" w:styleId="CommentText">
    <w:name w:val="annotation text"/>
    <w:basedOn w:val="Normal"/>
    <w:link w:val="CommentTextChar"/>
    <w:uiPriority w:val="99"/>
    <w:semiHidden/>
    <w:unhideWhenUsed/>
    <w:locked/>
    <w:rsid w:val="00A556E5"/>
    <w:rPr>
      <w:sz w:val="20"/>
      <w:szCs w:val="20"/>
    </w:rPr>
  </w:style>
  <w:style w:type="character" w:customStyle="1" w:styleId="CommentTextChar">
    <w:name w:val="Comment Text Char"/>
    <w:basedOn w:val="DefaultParagraphFont"/>
    <w:link w:val="CommentText"/>
    <w:uiPriority w:val="99"/>
    <w:semiHidden/>
    <w:rsid w:val="00A556E5"/>
    <w:rPr>
      <w:rFonts w:ascii="Arial" w:hAnsi="Arial" w:cs="Arial"/>
      <w:sz w:val="20"/>
      <w:szCs w:val="20"/>
      <w:lang w:val="en-NZ"/>
    </w:rPr>
  </w:style>
  <w:style w:type="paragraph" w:styleId="CommentSubject">
    <w:name w:val="annotation subject"/>
    <w:basedOn w:val="CommentText"/>
    <w:next w:val="CommentText"/>
    <w:link w:val="CommentSubjectChar"/>
    <w:uiPriority w:val="99"/>
    <w:semiHidden/>
    <w:unhideWhenUsed/>
    <w:locked/>
    <w:rsid w:val="00A556E5"/>
    <w:rPr>
      <w:b/>
      <w:bCs/>
    </w:rPr>
  </w:style>
  <w:style w:type="character" w:customStyle="1" w:styleId="CommentSubjectChar">
    <w:name w:val="Comment Subject Char"/>
    <w:basedOn w:val="CommentTextChar"/>
    <w:link w:val="CommentSubject"/>
    <w:uiPriority w:val="99"/>
    <w:semiHidden/>
    <w:rsid w:val="00A556E5"/>
    <w:rPr>
      <w:rFonts w:ascii="Arial" w:hAnsi="Arial" w:cs="Arial"/>
      <w:b/>
      <w:bCs/>
      <w:sz w:val="20"/>
      <w:szCs w:val="20"/>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93C36"/>
    <w:rPr>
      <w:rFonts w:ascii="Arial" w:hAnsi="Arial" w:cs="Arial"/>
      <w:lang w:val="en-NZ"/>
    </w:rPr>
  </w:style>
  <w:style w:type="paragraph" w:styleId="Heading1">
    <w:name w:val="heading 1"/>
    <w:basedOn w:val="Normal"/>
    <w:next w:val="Normal"/>
    <w:link w:val="Heading1Char"/>
    <w:uiPriority w:val="99"/>
    <w:qFormat/>
    <w:rsid w:val="00DA6C2F"/>
    <w:pPr>
      <w:numPr>
        <w:numId w:val="2"/>
      </w:numPr>
      <w:pBdr>
        <w:bottom w:val="single" w:sz="12" w:space="1" w:color="17365D"/>
      </w:pBdr>
      <w:tabs>
        <w:tab w:val="left" w:pos="-1440"/>
        <w:tab w:val="left" w:pos="2160"/>
        <w:tab w:val="left" w:pos="2880"/>
        <w:tab w:val="left" w:pos="3600"/>
        <w:tab w:val="left" w:pos="5040"/>
        <w:tab w:val="left" w:pos="5760"/>
        <w:tab w:val="left" w:pos="6480"/>
        <w:tab w:val="left" w:pos="7200"/>
      </w:tabs>
      <w:spacing w:before="90" w:after="90"/>
      <w:outlineLvl w:val="0"/>
    </w:pPr>
    <w:rPr>
      <w:rFonts w:ascii="Arial Bold" w:hAnsi="Arial Bold"/>
      <w:b/>
      <w:color w:val="17365D"/>
      <w:kern w:val="28"/>
      <w:sz w:val="24"/>
      <w:lang w:val="en-GB"/>
    </w:rPr>
  </w:style>
  <w:style w:type="paragraph" w:styleId="Heading2">
    <w:name w:val="heading 2"/>
    <w:basedOn w:val="Normal"/>
    <w:next w:val="BodyText"/>
    <w:link w:val="Heading2Char"/>
    <w:uiPriority w:val="99"/>
    <w:qFormat/>
    <w:rsid w:val="0086429D"/>
    <w:pPr>
      <w:numPr>
        <w:ilvl w:val="1"/>
        <w:numId w:val="2"/>
      </w:numPr>
      <w:tabs>
        <w:tab w:val="left" w:pos="-1440"/>
        <w:tab w:val="left" w:pos="2160"/>
        <w:tab w:val="left" w:pos="2880"/>
        <w:tab w:val="left" w:pos="5040"/>
        <w:tab w:val="left" w:pos="5760"/>
        <w:tab w:val="left" w:pos="6480"/>
        <w:tab w:val="left" w:pos="7200"/>
      </w:tabs>
      <w:outlineLvl w:val="1"/>
    </w:pPr>
    <w:rPr>
      <w:rFonts w:ascii="Arial Bold" w:hAnsi="Arial Bold"/>
      <w:b/>
      <w:u w:val="single"/>
    </w:rPr>
  </w:style>
  <w:style w:type="paragraph" w:styleId="Heading3">
    <w:name w:val="heading 3"/>
    <w:basedOn w:val="Normal"/>
    <w:next w:val="Normal"/>
    <w:link w:val="Heading3Char"/>
    <w:uiPriority w:val="99"/>
    <w:qFormat/>
    <w:rsid w:val="002E1AEC"/>
    <w:pPr>
      <w:numPr>
        <w:numId w:val="3"/>
      </w:numPr>
      <w:tabs>
        <w:tab w:val="left" w:pos="-1440"/>
        <w:tab w:val="left" w:pos="2160"/>
        <w:tab w:val="left" w:pos="2880"/>
        <w:tab w:val="left" w:pos="3600"/>
        <w:tab w:val="left" w:pos="5040"/>
        <w:tab w:val="left" w:pos="5760"/>
        <w:tab w:val="left" w:pos="6480"/>
        <w:tab w:val="left" w:pos="7200"/>
      </w:tabs>
      <w:spacing w:after="60"/>
      <w:outlineLvl w:val="2"/>
    </w:pPr>
    <w:rPr>
      <w:bCs/>
      <w:lang w:val="en-GB"/>
    </w:rPr>
  </w:style>
  <w:style w:type="paragraph" w:styleId="Heading4">
    <w:name w:val="heading 4"/>
    <w:basedOn w:val="Normal"/>
    <w:next w:val="Normal"/>
    <w:link w:val="Heading4Char"/>
    <w:uiPriority w:val="99"/>
    <w:qFormat/>
    <w:rsid w:val="00F948FE"/>
    <w:pPr>
      <w:keepNext/>
      <w:numPr>
        <w:ilvl w:val="3"/>
        <w:numId w:val="1"/>
      </w:numPr>
      <w:tabs>
        <w:tab w:val="left" w:pos="-1440"/>
        <w:tab w:val="left" w:pos="2160"/>
        <w:tab w:val="left" w:pos="2880"/>
        <w:tab w:val="left" w:pos="3600"/>
        <w:tab w:val="left" w:pos="5760"/>
        <w:tab w:val="left" w:pos="6480"/>
        <w:tab w:val="left" w:pos="7200"/>
      </w:tabs>
      <w:spacing w:before="240" w:after="60"/>
      <w:outlineLvl w:val="3"/>
    </w:pPr>
    <w:rPr>
      <w:b/>
      <w:sz w:val="24"/>
      <w:lang w:val="en-GB"/>
    </w:rPr>
  </w:style>
  <w:style w:type="paragraph" w:styleId="Heading5">
    <w:name w:val="heading 5"/>
    <w:basedOn w:val="Normal"/>
    <w:next w:val="Normal"/>
    <w:link w:val="Heading5Char"/>
    <w:uiPriority w:val="99"/>
    <w:qFormat/>
    <w:rsid w:val="00F948FE"/>
    <w:pPr>
      <w:numPr>
        <w:ilvl w:val="4"/>
        <w:numId w:val="1"/>
      </w:numPr>
      <w:tabs>
        <w:tab w:val="left" w:pos="-1440"/>
        <w:tab w:val="left" w:pos="2160"/>
        <w:tab w:val="left" w:pos="2880"/>
        <w:tab w:val="left" w:pos="3600"/>
        <w:tab w:val="left" w:pos="5040"/>
        <w:tab w:val="left" w:pos="6480"/>
        <w:tab w:val="left" w:pos="7200"/>
      </w:tabs>
      <w:spacing w:before="240" w:after="60"/>
      <w:outlineLvl w:val="4"/>
    </w:pPr>
    <w:rPr>
      <w:lang w:val="en-GB"/>
    </w:rPr>
  </w:style>
  <w:style w:type="paragraph" w:styleId="Heading6">
    <w:name w:val="heading 6"/>
    <w:basedOn w:val="Normal"/>
    <w:next w:val="Normal"/>
    <w:link w:val="Heading6Char"/>
    <w:uiPriority w:val="99"/>
    <w:qFormat/>
    <w:rsid w:val="00F948FE"/>
    <w:pPr>
      <w:numPr>
        <w:ilvl w:val="5"/>
        <w:numId w:val="1"/>
      </w:numPr>
      <w:tabs>
        <w:tab w:val="left" w:pos="-1440"/>
        <w:tab w:val="left" w:pos="2160"/>
        <w:tab w:val="left" w:pos="2880"/>
        <w:tab w:val="left" w:pos="3600"/>
        <w:tab w:val="left" w:pos="5040"/>
        <w:tab w:val="left" w:pos="5760"/>
        <w:tab w:val="left" w:pos="7200"/>
      </w:tabs>
      <w:spacing w:before="240" w:after="60"/>
      <w:outlineLvl w:val="5"/>
    </w:pPr>
    <w:rPr>
      <w:i/>
      <w:lang w:val="en-GB"/>
    </w:rPr>
  </w:style>
  <w:style w:type="paragraph" w:styleId="Heading7">
    <w:name w:val="heading 7"/>
    <w:basedOn w:val="Normal"/>
    <w:next w:val="Normal"/>
    <w:link w:val="Heading7Char"/>
    <w:uiPriority w:val="99"/>
    <w:qFormat/>
    <w:rsid w:val="00F948FE"/>
    <w:pPr>
      <w:numPr>
        <w:ilvl w:val="6"/>
        <w:numId w:val="1"/>
      </w:numPr>
      <w:tabs>
        <w:tab w:val="left" w:pos="-1440"/>
        <w:tab w:val="left" w:pos="2160"/>
        <w:tab w:val="left" w:pos="2880"/>
        <w:tab w:val="left" w:pos="3600"/>
        <w:tab w:val="left" w:pos="5040"/>
        <w:tab w:val="left" w:pos="5760"/>
        <w:tab w:val="left" w:pos="6480"/>
      </w:tabs>
      <w:spacing w:before="240" w:after="60"/>
      <w:outlineLvl w:val="6"/>
    </w:pPr>
    <w:rPr>
      <w:sz w:val="20"/>
      <w:lang w:val="en-GB"/>
    </w:rPr>
  </w:style>
  <w:style w:type="paragraph" w:styleId="Heading8">
    <w:name w:val="heading 8"/>
    <w:basedOn w:val="Normal"/>
    <w:next w:val="Normal"/>
    <w:link w:val="Heading8Char"/>
    <w:uiPriority w:val="99"/>
    <w:qFormat/>
    <w:rsid w:val="00F948FE"/>
    <w:pPr>
      <w:numPr>
        <w:ilvl w:val="7"/>
        <w:numId w:val="1"/>
      </w:numPr>
      <w:tabs>
        <w:tab w:val="left" w:pos="-1440"/>
        <w:tab w:val="left" w:pos="2160"/>
        <w:tab w:val="left" w:pos="2880"/>
        <w:tab w:val="left" w:pos="3600"/>
        <w:tab w:val="left" w:pos="5040"/>
        <w:tab w:val="left" w:pos="5760"/>
        <w:tab w:val="left" w:pos="6480"/>
        <w:tab w:val="left" w:pos="7200"/>
      </w:tabs>
      <w:spacing w:before="240" w:after="60"/>
      <w:outlineLvl w:val="7"/>
    </w:pPr>
    <w:rPr>
      <w:i/>
      <w:sz w:val="20"/>
      <w:lang w:val="en-GB"/>
    </w:rPr>
  </w:style>
  <w:style w:type="paragraph" w:styleId="Heading9">
    <w:name w:val="heading 9"/>
    <w:basedOn w:val="Normal"/>
    <w:next w:val="Normal"/>
    <w:link w:val="Heading9Char"/>
    <w:uiPriority w:val="99"/>
    <w:qFormat/>
    <w:rsid w:val="00F948FE"/>
    <w:pPr>
      <w:numPr>
        <w:ilvl w:val="8"/>
        <w:numId w:val="1"/>
      </w:numPr>
      <w:tabs>
        <w:tab w:val="left" w:pos="-1440"/>
        <w:tab w:val="left" w:pos="2160"/>
        <w:tab w:val="left" w:pos="2880"/>
        <w:tab w:val="left" w:pos="3600"/>
        <w:tab w:val="left" w:pos="5040"/>
        <w:tab w:val="left" w:pos="5760"/>
        <w:tab w:val="left" w:pos="6480"/>
        <w:tab w:val="left" w:pos="7200"/>
      </w:tabs>
      <w:spacing w:before="240" w:after="60"/>
      <w:outlineLvl w:val="8"/>
    </w:pPr>
    <w:rPr>
      <w:b/>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13FA1"/>
    <w:rPr>
      <w:rFonts w:ascii="Arial Bold" w:hAnsi="Arial Bold" w:cs="Arial"/>
      <w:b/>
      <w:color w:val="17365D"/>
      <w:kern w:val="28"/>
      <w:sz w:val="24"/>
      <w:lang w:val="en-GB"/>
    </w:rPr>
  </w:style>
  <w:style w:type="character" w:customStyle="1" w:styleId="Heading2Char">
    <w:name w:val="Heading 2 Char"/>
    <w:basedOn w:val="DefaultParagraphFont"/>
    <w:link w:val="Heading2"/>
    <w:uiPriority w:val="99"/>
    <w:locked/>
    <w:rsid w:val="00D13FA1"/>
    <w:rPr>
      <w:rFonts w:ascii="Arial Bold" w:hAnsi="Arial Bold" w:cs="Arial"/>
      <w:b/>
      <w:u w:val="single"/>
      <w:lang w:val="en-NZ"/>
    </w:rPr>
  </w:style>
  <w:style w:type="character" w:customStyle="1" w:styleId="Heading3Char">
    <w:name w:val="Heading 3 Char"/>
    <w:basedOn w:val="DefaultParagraphFont"/>
    <w:link w:val="Heading3"/>
    <w:uiPriority w:val="99"/>
    <w:locked/>
    <w:rsid w:val="00D13FA1"/>
    <w:rPr>
      <w:rFonts w:ascii="Arial" w:hAnsi="Arial" w:cs="Arial"/>
      <w:bCs/>
      <w:lang w:val="en-GB"/>
    </w:rPr>
  </w:style>
  <w:style w:type="character" w:customStyle="1" w:styleId="Heading4Char">
    <w:name w:val="Heading 4 Char"/>
    <w:basedOn w:val="DefaultParagraphFont"/>
    <w:link w:val="Heading4"/>
    <w:uiPriority w:val="99"/>
    <w:locked/>
    <w:rsid w:val="00D13FA1"/>
    <w:rPr>
      <w:rFonts w:ascii="Arial" w:hAnsi="Arial" w:cs="Arial"/>
      <w:b/>
      <w:sz w:val="24"/>
      <w:lang w:val="en-GB"/>
    </w:rPr>
  </w:style>
  <w:style w:type="character" w:customStyle="1" w:styleId="Heading5Char">
    <w:name w:val="Heading 5 Char"/>
    <w:basedOn w:val="DefaultParagraphFont"/>
    <w:link w:val="Heading5"/>
    <w:uiPriority w:val="99"/>
    <w:locked/>
    <w:rsid w:val="00D13FA1"/>
    <w:rPr>
      <w:rFonts w:ascii="Arial" w:hAnsi="Arial" w:cs="Arial"/>
      <w:lang w:val="en-GB"/>
    </w:rPr>
  </w:style>
  <w:style w:type="character" w:customStyle="1" w:styleId="Heading6Char">
    <w:name w:val="Heading 6 Char"/>
    <w:basedOn w:val="DefaultParagraphFont"/>
    <w:link w:val="Heading6"/>
    <w:uiPriority w:val="99"/>
    <w:locked/>
    <w:rsid w:val="00D13FA1"/>
    <w:rPr>
      <w:rFonts w:ascii="Arial" w:hAnsi="Arial" w:cs="Arial"/>
      <w:i/>
      <w:lang w:val="en-GB"/>
    </w:rPr>
  </w:style>
  <w:style w:type="character" w:customStyle="1" w:styleId="Heading7Char">
    <w:name w:val="Heading 7 Char"/>
    <w:basedOn w:val="DefaultParagraphFont"/>
    <w:link w:val="Heading7"/>
    <w:uiPriority w:val="99"/>
    <w:locked/>
    <w:rsid w:val="00D13FA1"/>
    <w:rPr>
      <w:rFonts w:ascii="Arial" w:hAnsi="Arial" w:cs="Arial"/>
      <w:sz w:val="20"/>
      <w:lang w:val="en-GB"/>
    </w:rPr>
  </w:style>
  <w:style w:type="character" w:customStyle="1" w:styleId="Heading8Char">
    <w:name w:val="Heading 8 Char"/>
    <w:basedOn w:val="DefaultParagraphFont"/>
    <w:link w:val="Heading8"/>
    <w:uiPriority w:val="99"/>
    <w:locked/>
    <w:rsid w:val="00D13FA1"/>
    <w:rPr>
      <w:rFonts w:ascii="Arial" w:hAnsi="Arial" w:cs="Arial"/>
      <w:i/>
      <w:sz w:val="20"/>
      <w:lang w:val="en-GB"/>
    </w:rPr>
  </w:style>
  <w:style w:type="character" w:customStyle="1" w:styleId="Heading9Char">
    <w:name w:val="Heading 9 Char"/>
    <w:basedOn w:val="DefaultParagraphFont"/>
    <w:link w:val="Heading9"/>
    <w:uiPriority w:val="99"/>
    <w:locked/>
    <w:rsid w:val="00D13FA1"/>
    <w:rPr>
      <w:rFonts w:ascii="Arial" w:hAnsi="Arial" w:cs="Arial"/>
      <w:b/>
      <w:i/>
      <w:sz w:val="18"/>
      <w:lang w:val="en-GB"/>
    </w:rPr>
  </w:style>
  <w:style w:type="paragraph" w:styleId="Header">
    <w:name w:val="header"/>
    <w:basedOn w:val="Normal"/>
    <w:link w:val="HeaderChar"/>
    <w:uiPriority w:val="99"/>
    <w:rsid w:val="00DC0015"/>
    <w:pPr>
      <w:tabs>
        <w:tab w:val="center" w:pos="4320"/>
        <w:tab w:val="right" w:pos="8640"/>
      </w:tabs>
    </w:pPr>
  </w:style>
  <w:style w:type="character" w:customStyle="1" w:styleId="HeaderChar">
    <w:name w:val="Header Char"/>
    <w:basedOn w:val="DefaultParagraphFont"/>
    <w:link w:val="Header"/>
    <w:uiPriority w:val="99"/>
    <w:semiHidden/>
    <w:locked/>
    <w:rsid w:val="00D13FA1"/>
    <w:rPr>
      <w:rFonts w:ascii="Arial" w:hAnsi="Arial" w:cs="Arial"/>
      <w:lang w:val="en-NZ"/>
    </w:rPr>
  </w:style>
  <w:style w:type="paragraph" w:styleId="Footer">
    <w:name w:val="footer"/>
    <w:basedOn w:val="Normal"/>
    <w:link w:val="FooterChar"/>
    <w:uiPriority w:val="99"/>
    <w:rsid w:val="00DC0015"/>
    <w:pPr>
      <w:tabs>
        <w:tab w:val="center" w:pos="4320"/>
        <w:tab w:val="right" w:pos="8640"/>
      </w:tabs>
    </w:pPr>
  </w:style>
  <w:style w:type="character" w:customStyle="1" w:styleId="FooterChar">
    <w:name w:val="Footer Char"/>
    <w:basedOn w:val="DefaultParagraphFont"/>
    <w:link w:val="Footer"/>
    <w:uiPriority w:val="99"/>
    <w:semiHidden/>
    <w:locked/>
    <w:rsid w:val="00D13FA1"/>
    <w:rPr>
      <w:rFonts w:ascii="Arial" w:hAnsi="Arial" w:cs="Arial"/>
      <w:lang w:val="en-NZ"/>
    </w:rPr>
  </w:style>
  <w:style w:type="character" w:styleId="PageNumber">
    <w:name w:val="page number"/>
    <w:basedOn w:val="DefaultParagraphFont"/>
    <w:uiPriority w:val="99"/>
    <w:rsid w:val="00275A7D"/>
    <w:rPr>
      <w:rFonts w:cs="Times New Roman"/>
    </w:rPr>
  </w:style>
  <w:style w:type="paragraph" w:customStyle="1" w:styleId="Heading3LeftChar">
    <w:name w:val="Heading 3 + Left Char"/>
    <w:basedOn w:val="Heading3"/>
    <w:link w:val="Heading3LeftCharChar"/>
    <w:uiPriority w:val="99"/>
    <w:rsid w:val="00DC0015"/>
    <w:pPr>
      <w:tabs>
        <w:tab w:val="left" w:pos="440"/>
        <w:tab w:val="left" w:pos="880"/>
        <w:tab w:val="right" w:pos="9020"/>
      </w:tabs>
      <w:spacing w:after="0"/>
    </w:pPr>
    <w:rPr>
      <w:lang w:val="en-NZ"/>
    </w:rPr>
  </w:style>
  <w:style w:type="character" w:customStyle="1" w:styleId="Heading3LeftCharChar">
    <w:name w:val="Heading 3 + Left Char Char"/>
    <w:basedOn w:val="DefaultParagraphFont"/>
    <w:link w:val="Heading3LeftChar"/>
    <w:uiPriority w:val="99"/>
    <w:locked/>
    <w:rsid w:val="00DC0015"/>
    <w:rPr>
      <w:rFonts w:ascii="Arial" w:hAnsi="Arial" w:cs="Arial"/>
      <w:bCs/>
      <w:lang w:val="en-NZ"/>
    </w:rPr>
  </w:style>
  <w:style w:type="paragraph" w:styleId="BodyText">
    <w:name w:val="Body Text"/>
    <w:basedOn w:val="Normal"/>
    <w:link w:val="BodyTextChar"/>
    <w:uiPriority w:val="99"/>
    <w:rsid w:val="0086429D"/>
    <w:pPr>
      <w:spacing w:before="120" w:after="120"/>
      <w:ind w:left="720"/>
    </w:pPr>
    <w:rPr>
      <w:lang w:val="en-GB"/>
    </w:rPr>
  </w:style>
  <w:style w:type="character" w:customStyle="1" w:styleId="BodyTextChar">
    <w:name w:val="Body Text Char"/>
    <w:basedOn w:val="DefaultParagraphFont"/>
    <w:link w:val="BodyText"/>
    <w:uiPriority w:val="99"/>
    <w:semiHidden/>
    <w:locked/>
    <w:rsid w:val="00D13FA1"/>
    <w:rPr>
      <w:rFonts w:ascii="Arial" w:hAnsi="Arial" w:cs="Arial"/>
      <w:lang w:val="en-NZ"/>
    </w:rPr>
  </w:style>
  <w:style w:type="paragraph" w:styleId="TOC1">
    <w:name w:val="toc 1"/>
    <w:basedOn w:val="Normal"/>
    <w:next w:val="Normal"/>
    <w:autoRedefine/>
    <w:uiPriority w:val="99"/>
    <w:rsid w:val="00DA6C2F"/>
    <w:pPr>
      <w:tabs>
        <w:tab w:val="left" w:pos="480"/>
        <w:tab w:val="right" w:leader="dot" w:pos="9016"/>
      </w:tabs>
      <w:spacing w:before="160" w:after="120"/>
    </w:pPr>
    <w:rPr>
      <w:b/>
      <w:noProof/>
    </w:rPr>
  </w:style>
  <w:style w:type="paragraph" w:styleId="TOC2">
    <w:name w:val="toc 2"/>
    <w:basedOn w:val="Normal"/>
    <w:next w:val="Normal"/>
    <w:autoRedefine/>
    <w:uiPriority w:val="99"/>
    <w:rsid w:val="0025134D"/>
    <w:pPr>
      <w:tabs>
        <w:tab w:val="left" w:pos="522"/>
        <w:tab w:val="left" w:pos="1100"/>
        <w:tab w:val="right" w:leader="dot" w:pos="9016"/>
      </w:tabs>
      <w:spacing w:after="80"/>
      <w:ind w:left="522"/>
    </w:pPr>
    <w:rPr>
      <w:noProof/>
      <w:sz w:val="20"/>
    </w:rPr>
  </w:style>
  <w:style w:type="paragraph" w:styleId="TOC3">
    <w:name w:val="toc 3"/>
    <w:basedOn w:val="Normal"/>
    <w:next w:val="Normal"/>
    <w:autoRedefine/>
    <w:uiPriority w:val="99"/>
    <w:rsid w:val="000161F0"/>
    <w:pPr>
      <w:tabs>
        <w:tab w:val="left" w:pos="770"/>
        <w:tab w:val="right" w:leader="dot" w:pos="9016"/>
      </w:tabs>
      <w:ind w:left="440"/>
    </w:pPr>
  </w:style>
  <w:style w:type="character" w:styleId="Hyperlink">
    <w:name w:val="Hyperlink"/>
    <w:basedOn w:val="DefaultParagraphFont"/>
    <w:uiPriority w:val="99"/>
    <w:rsid w:val="00DA6C2F"/>
    <w:rPr>
      <w:rFonts w:cs="Times New Roman"/>
      <w:u w:val="single"/>
    </w:rPr>
  </w:style>
  <w:style w:type="paragraph" w:styleId="PlainText">
    <w:name w:val="Plain Text"/>
    <w:basedOn w:val="Normal"/>
    <w:link w:val="PlainTextChar"/>
    <w:uiPriority w:val="99"/>
    <w:rsid w:val="0092403E"/>
    <w:rPr>
      <w:rFonts w:ascii="Consolas" w:hAnsi="Consolas" w:cs="Times New Roman"/>
      <w:sz w:val="21"/>
      <w:szCs w:val="21"/>
    </w:rPr>
  </w:style>
  <w:style w:type="character" w:customStyle="1" w:styleId="PlainTextChar">
    <w:name w:val="Plain Text Char"/>
    <w:basedOn w:val="DefaultParagraphFont"/>
    <w:link w:val="PlainText"/>
    <w:uiPriority w:val="99"/>
    <w:locked/>
    <w:rsid w:val="0092403E"/>
    <w:rPr>
      <w:rFonts w:ascii="Consolas" w:hAnsi="Consolas" w:cs="Times New Roman"/>
      <w:sz w:val="21"/>
      <w:szCs w:val="21"/>
      <w:lang w:eastAsia="en-US"/>
    </w:rPr>
  </w:style>
  <w:style w:type="paragraph" w:styleId="FootnoteText">
    <w:name w:val="footnote text"/>
    <w:basedOn w:val="Normal"/>
    <w:link w:val="FootnoteTextChar"/>
    <w:uiPriority w:val="99"/>
    <w:rsid w:val="0092403E"/>
    <w:rPr>
      <w:sz w:val="20"/>
      <w:szCs w:val="20"/>
    </w:rPr>
  </w:style>
  <w:style w:type="character" w:customStyle="1" w:styleId="FootnoteTextChar">
    <w:name w:val="Footnote Text Char"/>
    <w:basedOn w:val="DefaultParagraphFont"/>
    <w:link w:val="FootnoteText"/>
    <w:uiPriority w:val="99"/>
    <w:locked/>
    <w:rsid w:val="0092403E"/>
    <w:rPr>
      <w:rFonts w:ascii="Arial" w:hAnsi="Arial" w:cs="Arial"/>
      <w:lang w:eastAsia="en-US"/>
    </w:rPr>
  </w:style>
  <w:style w:type="character" w:styleId="FootnoteReference">
    <w:name w:val="footnote reference"/>
    <w:basedOn w:val="DefaultParagraphFont"/>
    <w:uiPriority w:val="99"/>
    <w:rsid w:val="0092403E"/>
    <w:rPr>
      <w:rFonts w:cs="Times New Roman"/>
      <w:vertAlign w:val="superscript"/>
    </w:rPr>
  </w:style>
  <w:style w:type="paragraph" w:styleId="ListParagraph">
    <w:name w:val="List Paragraph"/>
    <w:basedOn w:val="Normal"/>
    <w:uiPriority w:val="99"/>
    <w:qFormat/>
    <w:rsid w:val="0092403E"/>
    <w:pPr>
      <w:ind w:left="720"/>
      <w:contextualSpacing/>
      <w:jc w:val="both"/>
    </w:pPr>
    <w:rPr>
      <w:rFonts w:cs="Times New Roman"/>
      <w:sz w:val="24"/>
      <w:szCs w:val="20"/>
    </w:rPr>
  </w:style>
  <w:style w:type="paragraph" w:styleId="BalloonText">
    <w:name w:val="Balloon Text"/>
    <w:basedOn w:val="Normal"/>
    <w:link w:val="BalloonTextChar"/>
    <w:uiPriority w:val="99"/>
    <w:rsid w:val="0092403E"/>
    <w:rPr>
      <w:rFonts w:ascii="Tahoma" w:hAnsi="Tahoma" w:cs="Tahoma"/>
      <w:sz w:val="16"/>
      <w:szCs w:val="16"/>
    </w:rPr>
  </w:style>
  <w:style w:type="character" w:customStyle="1" w:styleId="BalloonTextChar">
    <w:name w:val="Balloon Text Char"/>
    <w:basedOn w:val="DefaultParagraphFont"/>
    <w:link w:val="BalloonText"/>
    <w:uiPriority w:val="99"/>
    <w:locked/>
    <w:rsid w:val="0092403E"/>
    <w:rPr>
      <w:rFonts w:ascii="Tahoma" w:hAnsi="Tahoma" w:cs="Tahoma"/>
      <w:sz w:val="16"/>
      <w:szCs w:val="16"/>
      <w:lang w:eastAsia="en-US"/>
    </w:rPr>
  </w:style>
  <w:style w:type="paragraph" w:styleId="NormalWeb">
    <w:name w:val="Normal (Web)"/>
    <w:basedOn w:val="Normal"/>
    <w:uiPriority w:val="99"/>
    <w:rsid w:val="00E25071"/>
    <w:pPr>
      <w:spacing w:before="100" w:beforeAutospacing="1" w:after="100" w:afterAutospacing="1"/>
    </w:pPr>
    <w:rPr>
      <w:rFonts w:ascii="Times New Roman" w:hAnsi="Times New Roman" w:cs="Times New Roman"/>
      <w:sz w:val="24"/>
      <w:szCs w:val="24"/>
      <w:lang w:eastAsia="en-NZ"/>
    </w:rPr>
  </w:style>
  <w:style w:type="table" w:styleId="TableGrid">
    <w:name w:val="Table Grid"/>
    <w:basedOn w:val="TableNormal"/>
    <w:uiPriority w:val="99"/>
    <w:rsid w:val="002E26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D2170F"/>
    <w:pPr>
      <w:autoSpaceDE w:val="0"/>
      <w:autoSpaceDN w:val="0"/>
      <w:adjustRightInd w:val="0"/>
    </w:pPr>
    <w:rPr>
      <w:rFonts w:ascii="Arial" w:hAnsi="Arial" w:cs="Arial"/>
      <w:color w:val="000000"/>
      <w:sz w:val="24"/>
      <w:szCs w:val="24"/>
      <w:lang w:val="en-NZ" w:eastAsia="en-NZ"/>
    </w:rPr>
  </w:style>
  <w:style w:type="character" w:styleId="CommentReference">
    <w:name w:val="annotation reference"/>
    <w:basedOn w:val="DefaultParagraphFont"/>
    <w:uiPriority w:val="99"/>
    <w:semiHidden/>
    <w:unhideWhenUsed/>
    <w:locked/>
    <w:rsid w:val="00A556E5"/>
    <w:rPr>
      <w:sz w:val="16"/>
      <w:szCs w:val="16"/>
    </w:rPr>
  </w:style>
  <w:style w:type="paragraph" w:styleId="CommentText">
    <w:name w:val="annotation text"/>
    <w:basedOn w:val="Normal"/>
    <w:link w:val="CommentTextChar"/>
    <w:uiPriority w:val="99"/>
    <w:semiHidden/>
    <w:unhideWhenUsed/>
    <w:locked/>
    <w:rsid w:val="00A556E5"/>
    <w:rPr>
      <w:sz w:val="20"/>
      <w:szCs w:val="20"/>
    </w:rPr>
  </w:style>
  <w:style w:type="character" w:customStyle="1" w:styleId="CommentTextChar">
    <w:name w:val="Comment Text Char"/>
    <w:basedOn w:val="DefaultParagraphFont"/>
    <w:link w:val="CommentText"/>
    <w:uiPriority w:val="99"/>
    <w:semiHidden/>
    <w:rsid w:val="00A556E5"/>
    <w:rPr>
      <w:rFonts w:ascii="Arial" w:hAnsi="Arial" w:cs="Arial"/>
      <w:sz w:val="20"/>
      <w:szCs w:val="20"/>
      <w:lang w:val="en-NZ"/>
    </w:rPr>
  </w:style>
  <w:style w:type="paragraph" w:styleId="CommentSubject">
    <w:name w:val="annotation subject"/>
    <w:basedOn w:val="CommentText"/>
    <w:next w:val="CommentText"/>
    <w:link w:val="CommentSubjectChar"/>
    <w:uiPriority w:val="99"/>
    <w:semiHidden/>
    <w:unhideWhenUsed/>
    <w:locked/>
    <w:rsid w:val="00A556E5"/>
    <w:rPr>
      <w:b/>
      <w:bCs/>
    </w:rPr>
  </w:style>
  <w:style w:type="character" w:customStyle="1" w:styleId="CommentSubjectChar">
    <w:name w:val="Comment Subject Char"/>
    <w:basedOn w:val="CommentTextChar"/>
    <w:link w:val="CommentSubject"/>
    <w:uiPriority w:val="99"/>
    <w:semiHidden/>
    <w:rsid w:val="00A556E5"/>
    <w:rPr>
      <w:rFonts w:ascii="Arial" w:hAnsi="Arial" w:cs="Arial"/>
      <w:b/>
      <w:bCs/>
      <w:sz w:val="20"/>
      <w:szCs w:val="20"/>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921403">
      <w:bodyDiv w:val="1"/>
      <w:marLeft w:val="0"/>
      <w:marRight w:val="0"/>
      <w:marTop w:val="0"/>
      <w:marBottom w:val="0"/>
      <w:divBdr>
        <w:top w:val="none" w:sz="0" w:space="0" w:color="auto"/>
        <w:left w:val="none" w:sz="0" w:space="0" w:color="auto"/>
        <w:bottom w:val="none" w:sz="0" w:space="0" w:color="auto"/>
        <w:right w:val="none" w:sz="0" w:space="0" w:color="auto"/>
      </w:divBdr>
    </w:div>
    <w:div w:id="2107116133">
      <w:marLeft w:val="0"/>
      <w:marRight w:val="0"/>
      <w:marTop w:val="0"/>
      <w:marBottom w:val="0"/>
      <w:divBdr>
        <w:top w:val="none" w:sz="0" w:space="0" w:color="auto"/>
        <w:left w:val="none" w:sz="0" w:space="0" w:color="auto"/>
        <w:bottom w:val="none" w:sz="0" w:space="0" w:color="auto"/>
        <w:right w:val="none" w:sz="0" w:space="0" w:color="auto"/>
      </w:divBdr>
    </w:div>
    <w:div w:id="2107116134">
      <w:marLeft w:val="0"/>
      <w:marRight w:val="0"/>
      <w:marTop w:val="0"/>
      <w:marBottom w:val="0"/>
      <w:divBdr>
        <w:top w:val="none" w:sz="0" w:space="0" w:color="auto"/>
        <w:left w:val="none" w:sz="0" w:space="0" w:color="auto"/>
        <w:bottom w:val="none" w:sz="0" w:space="0" w:color="auto"/>
        <w:right w:val="none" w:sz="0" w:space="0" w:color="auto"/>
      </w:divBdr>
    </w:div>
    <w:div w:id="2107116138">
      <w:marLeft w:val="0"/>
      <w:marRight w:val="0"/>
      <w:marTop w:val="100"/>
      <w:marBottom w:val="100"/>
      <w:divBdr>
        <w:top w:val="none" w:sz="0" w:space="0" w:color="auto"/>
        <w:left w:val="none" w:sz="0" w:space="0" w:color="auto"/>
        <w:bottom w:val="none" w:sz="0" w:space="0" w:color="auto"/>
        <w:right w:val="none" w:sz="0" w:space="0" w:color="auto"/>
      </w:divBdr>
      <w:divsChild>
        <w:div w:id="2107116137">
          <w:marLeft w:val="0"/>
          <w:marRight w:val="0"/>
          <w:marTop w:val="0"/>
          <w:marBottom w:val="0"/>
          <w:divBdr>
            <w:top w:val="none" w:sz="0" w:space="0" w:color="auto"/>
            <w:left w:val="none" w:sz="0" w:space="0" w:color="auto"/>
            <w:bottom w:val="none" w:sz="0" w:space="0" w:color="auto"/>
            <w:right w:val="none" w:sz="0" w:space="0" w:color="auto"/>
          </w:divBdr>
          <w:divsChild>
            <w:div w:id="210711613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107116139">
      <w:marLeft w:val="0"/>
      <w:marRight w:val="0"/>
      <w:marTop w:val="0"/>
      <w:marBottom w:val="0"/>
      <w:divBdr>
        <w:top w:val="none" w:sz="0" w:space="0" w:color="auto"/>
        <w:left w:val="none" w:sz="0" w:space="0" w:color="auto"/>
        <w:bottom w:val="none" w:sz="0" w:space="0" w:color="auto"/>
        <w:right w:val="none" w:sz="0" w:space="0" w:color="auto"/>
      </w:divBdr>
      <w:divsChild>
        <w:div w:id="21071161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18" Type="http://schemas.openxmlformats.org/officeDocument/2006/relationships/diagramQuickStyle" Target="diagrams/quickStyle2.xml"/><Relationship Id="rId3" Type="http://schemas.microsoft.com/office/2007/relationships/stylesWithEffects" Target="stylesWithEffects.xml"/><Relationship Id="rId21" Type="http://schemas.openxmlformats.org/officeDocument/2006/relationships/hyperlink" Target="http://www.boprc.govt.nz" TargetMode="Externa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diagramLayout" Target="diagrams/layout2.xml"/><Relationship Id="rId2" Type="http://schemas.openxmlformats.org/officeDocument/2006/relationships/styles" Target="styles.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theme" Target="theme/theme1.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diagramColors" Target="diagrams/colors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diagramColors" Target="diagrams/colors1.xm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oprc.govt.nz" TargetMode="Externa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AB2B8D-A5E4-49D6-8181-88236E48D935}" type="doc">
      <dgm:prSet loTypeId="urn:microsoft.com/office/officeart/2005/8/layout/radial5" loCatId="cycle" qsTypeId="urn:microsoft.com/office/officeart/2005/8/quickstyle/simple2" qsCatId="simple" csTypeId="urn:microsoft.com/office/officeart/2005/8/colors/colorful3" csCatId="colorful" phldr="1"/>
      <dgm:spPr/>
      <dgm:t>
        <a:bodyPr/>
        <a:lstStyle/>
        <a:p>
          <a:endParaRPr lang="en-NZ"/>
        </a:p>
      </dgm:t>
    </dgm:pt>
    <dgm:pt modelId="{7564B980-353E-445C-A570-4DD3A69AE5ED}">
      <dgm:prSet phldrT="[Text]"/>
      <dgm:spPr/>
      <dgm:t>
        <a:bodyPr/>
        <a:lstStyle/>
        <a:p>
          <a:r>
            <a:rPr lang="en-NZ"/>
            <a:t>affordable housing</a:t>
          </a:r>
        </a:p>
      </dgm:t>
    </dgm:pt>
    <dgm:pt modelId="{CBF03FB1-28AE-4BE0-BE6D-EEF4F51ED9E6}" type="parTrans" cxnId="{CA4E5C4F-E671-4315-B143-F4A634AF927A}">
      <dgm:prSet/>
      <dgm:spPr/>
      <dgm:t>
        <a:bodyPr/>
        <a:lstStyle/>
        <a:p>
          <a:endParaRPr lang="en-NZ"/>
        </a:p>
      </dgm:t>
    </dgm:pt>
    <dgm:pt modelId="{FC05ADA2-70BF-490D-B78A-3D43AE972A72}" type="sibTrans" cxnId="{CA4E5C4F-E671-4315-B143-F4A634AF927A}">
      <dgm:prSet/>
      <dgm:spPr/>
      <dgm:t>
        <a:bodyPr/>
        <a:lstStyle/>
        <a:p>
          <a:endParaRPr lang="en-NZ"/>
        </a:p>
      </dgm:t>
    </dgm:pt>
    <dgm:pt modelId="{56047080-0944-4972-A73C-894246BCA026}">
      <dgm:prSet phldrT="[Text]"/>
      <dgm:spPr/>
      <dgm:t>
        <a:bodyPr/>
        <a:lstStyle/>
        <a:p>
          <a:r>
            <a:rPr lang="en-NZ"/>
            <a:t>Maori land</a:t>
          </a:r>
        </a:p>
      </dgm:t>
    </dgm:pt>
    <dgm:pt modelId="{24B5EB3B-78AB-48A9-95D5-B87A1CE3C4D1}" type="parTrans" cxnId="{07C37FD7-26CA-4F24-B534-2C99CFC6AFFB}">
      <dgm:prSet/>
      <dgm:spPr/>
      <dgm:t>
        <a:bodyPr/>
        <a:lstStyle/>
        <a:p>
          <a:endParaRPr lang="en-NZ"/>
        </a:p>
      </dgm:t>
    </dgm:pt>
    <dgm:pt modelId="{5C2E007A-6526-4E74-B453-4B172EBC630A}" type="sibTrans" cxnId="{07C37FD7-26CA-4F24-B534-2C99CFC6AFFB}">
      <dgm:prSet/>
      <dgm:spPr/>
      <dgm:t>
        <a:bodyPr/>
        <a:lstStyle/>
        <a:p>
          <a:endParaRPr lang="en-NZ"/>
        </a:p>
      </dgm:t>
    </dgm:pt>
    <dgm:pt modelId="{30A1299F-1A82-41B8-A016-07D62E6C7B44}">
      <dgm:prSet phldrT="[Text]"/>
      <dgm:spPr/>
      <dgm:t>
        <a:bodyPr/>
        <a:lstStyle/>
        <a:p>
          <a:r>
            <a:rPr lang="en-NZ"/>
            <a:t>Maori timber</a:t>
          </a:r>
        </a:p>
      </dgm:t>
    </dgm:pt>
    <dgm:pt modelId="{BD8D6CDE-79E6-4D21-8857-E3DB7147CD5F}" type="parTrans" cxnId="{F6658DF3-787B-42EA-A8F6-681265773613}">
      <dgm:prSet/>
      <dgm:spPr/>
      <dgm:t>
        <a:bodyPr/>
        <a:lstStyle/>
        <a:p>
          <a:endParaRPr lang="en-NZ"/>
        </a:p>
      </dgm:t>
    </dgm:pt>
    <dgm:pt modelId="{EC9A1D6F-022C-4467-B94A-C2E1FE1ADABB}" type="sibTrans" cxnId="{F6658DF3-787B-42EA-A8F6-681265773613}">
      <dgm:prSet/>
      <dgm:spPr/>
      <dgm:t>
        <a:bodyPr/>
        <a:lstStyle/>
        <a:p>
          <a:endParaRPr lang="en-NZ"/>
        </a:p>
      </dgm:t>
    </dgm:pt>
    <dgm:pt modelId="{DD7E83B8-5CEB-44C9-8755-BC671A6B48AA}">
      <dgm:prSet phldrT="[Text]"/>
      <dgm:spPr/>
      <dgm:t>
        <a:bodyPr/>
        <a:lstStyle/>
        <a:p>
          <a:r>
            <a:rPr lang="en-NZ"/>
            <a:t>clever collaborative designs</a:t>
          </a:r>
        </a:p>
      </dgm:t>
    </dgm:pt>
    <dgm:pt modelId="{E0907D2D-04DA-4557-8E2D-992A144634BB}" type="parTrans" cxnId="{66233360-6001-411E-A06A-29E354C59FB4}">
      <dgm:prSet/>
      <dgm:spPr/>
      <dgm:t>
        <a:bodyPr/>
        <a:lstStyle/>
        <a:p>
          <a:endParaRPr lang="en-NZ"/>
        </a:p>
      </dgm:t>
    </dgm:pt>
    <dgm:pt modelId="{3D4CE238-9FCB-45E3-9A07-3FC5CEE0D08C}" type="sibTrans" cxnId="{66233360-6001-411E-A06A-29E354C59FB4}">
      <dgm:prSet/>
      <dgm:spPr/>
      <dgm:t>
        <a:bodyPr/>
        <a:lstStyle/>
        <a:p>
          <a:endParaRPr lang="en-NZ"/>
        </a:p>
      </dgm:t>
    </dgm:pt>
    <dgm:pt modelId="{77706C77-344A-4E1E-B414-935E75090709}">
      <dgm:prSet phldrT="[Text]"/>
      <dgm:spPr/>
      <dgm:t>
        <a:bodyPr/>
        <a:lstStyle/>
        <a:p>
          <a:r>
            <a:rPr lang="en-NZ"/>
            <a:t>local labour</a:t>
          </a:r>
        </a:p>
      </dgm:t>
    </dgm:pt>
    <dgm:pt modelId="{6B7FA1AF-2FE3-4B9D-9430-39965B94AB5B}" type="parTrans" cxnId="{A386481B-A599-40F5-9CB1-A645C3E375AD}">
      <dgm:prSet/>
      <dgm:spPr/>
      <dgm:t>
        <a:bodyPr/>
        <a:lstStyle/>
        <a:p>
          <a:endParaRPr lang="en-NZ"/>
        </a:p>
      </dgm:t>
    </dgm:pt>
    <dgm:pt modelId="{CCBD7847-A0F6-4F1F-A1F9-156A3B5D386C}" type="sibTrans" cxnId="{A386481B-A599-40F5-9CB1-A645C3E375AD}">
      <dgm:prSet/>
      <dgm:spPr/>
      <dgm:t>
        <a:bodyPr/>
        <a:lstStyle/>
        <a:p>
          <a:endParaRPr lang="en-NZ"/>
        </a:p>
      </dgm:t>
    </dgm:pt>
    <dgm:pt modelId="{CD7172E9-BD13-4293-8038-4D304C97B80B}">
      <dgm:prSet/>
      <dgm:spPr/>
      <dgm:t>
        <a:bodyPr/>
        <a:lstStyle/>
        <a:p>
          <a:r>
            <a:rPr lang="en-NZ"/>
            <a:t>stream-lined planning processes and experienced case managers</a:t>
          </a:r>
        </a:p>
      </dgm:t>
    </dgm:pt>
    <dgm:pt modelId="{3A7131B0-8171-43CE-B23C-8987C98B5E26}" type="parTrans" cxnId="{5A017DD5-D2F2-40D0-8029-F0D14D5F4CC3}">
      <dgm:prSet/>
      <dgm:spPr/>
      <dgm:t>
        <a:bodyPr/>
        <a:lstStyle/>
        <a:p>
          <a:endParaRPr lang="en-NZ"/>
        </a:p>
      </dgm:t>
    </dgm:pt>
    <dgm:pt modelId="{A0F3A81F-4DDF-428D-8F89-82987E4B5FF1}" type="sibTrans" cxnId="{5A017DD5-D2F2-40D0-8029-F0D14D5F4CC3}">
      <dgm:prSet/>
      <dgm:spPr/>
      <dgm:t>
        <a:bodyPr/>
        <a:lstStyle/>
        <a:p>
          <a:endParaRPr lang="en-NZ"/>
        </a:p>
      </dgm:t>
    </dgm:pt>
    <dgm:pt modelId="{DECE2387-475F-4292-BFF4-BA1CB30EC099}">
      <dgm:prSet/>
      <dgm:spPr/>
      <dgm:t>
        <a:bodyPr/>
        <a:lstStyle/>
        <a:p>
          <a:r>
            <a:rPr lang="en-NZ"/>
            <a:t>experienced local supervision</a:t>
          </a:r>
        </a:p>
      </dgm:t>
    </dgm:pt>
    <dgm:pt modelId="{3B316103-0D7C-45C8-874C-9CD54065060E}" type="parTrans" cxnId="{72057794-6834-4A31-90C5-C9547C9441B8}">
      <dgm:prSet/>
      <dgm:spPr/>
      <dgm:t>
        <a:bodyPr/>
        <a:lstStyle/>
        <a:p>
          <a:endParaRPr lang="en-NZ"/>
        </a:p>
      </dgm:t>
    </dgm:pt>
    <dgm:pt modelId="{B7CB6C5F-4B6F-43E3-A0C7-D5BB7C6B925A}" type="sibTrans" cxnId="{72057794-6834-4A31-90C5-C9547C9441B8}">
      <dgm:prSet/>
      <dgm:spPr/>
      <dgm:t>
        <a:bodyPr/>
        <a:lstStyle/>
        <a:p>
          <a:endParaRPr lang="en-NZ"/>
        </a:p>
      </dgm:t>
    </dgm:pt>
    <dgm:pt modelId="{931C931A-EC94-4B6C-AB39-A715C036314C}">
      <dgm:prSet/>
      <dgm:spPr/>
      <dgm:t>
        <a:bodyPr/>
        <a:lstStyle/>
        <a:p>
          <a:r>
            <a:rPr lang="en-NZ"/>
            <a:t>papakianga toolkit</a:t>
          </a:r>
        </a:p>
      </dgm:t>
    </dgm:pt>
    <dgm:pt modelId="{5C71507C-6C10-453B-A2B9-660DBC06FEB9}" type="parTrans" cxnId="{26DF6F8E-DF6E-4BB7-BCB4-9F30B5CB27EA}">
      <dgm:prSet/>
      <dgm:spPr/>
      <dgm:t>
        <a:bodyPr/>
        <a:lstStyle/>
        <a:p>
          <a:endParaRPr lang="en-NZ"/>
        </a:p>
      </dgm:t>
    </dgm:pt>
    <dgm:pt modelId="{B146D8C2-FBAA-4193-8F92-79DA9A7FA454}" type="sibTrans" cxnId="{26DF6F8E-DF6E-4BB7-BCB4-9F30B5CB27EA}">
      <dgm:prSet/>
      <dgm:spPr/>
      <dgm:t>
        <a:bodyPr/>
        <a:lstStyle/>
        <a:p>
          <a:endParaRPr lang="en-NZ"/>
        </a:p>
      </dgm:t>
    </dgm:pt>
    <dgm:pt modelId="{C70B5C6A-F822-4870-8F44-E745ECE34B45}" type="pres">
      <dgm:prSet presAssocID="{2DAB2B8D-A5E4-49D6-8181-88236E48D935}" presName="Name0" presStyleCnt="0">
        <dgm:presLayoutVars>
          <dgm:chMax val="1"/>
          <dgm:dir/>
          <dgm:animLvl val="ctr"/>
          <dgm:resizeHandles val="exact"/>
        </dgm:presLayoutVars>
      </dgm:prSet>
      <dgm:spPr/>
      <dgm:t>
        <a:bodyPr/>
        <a:lstStyle/>
        <a:p>
          <a:endParaRPr lang="en-NZ"/>
        </a:p>
      </dgm:t>
    </dgm:pt>
    <dgm:pt modelId="{648C1339-4F81-4621-94A0-0C25A06AF56B}" type="pres">
      <dgm:prSet presAssocID="{7564B980-353E-445C-A570-4DD3A69AE5ED}" presName="centerShape" presStyleLbl="node0" presStyleIdx="0" presStyleCnt="1"/>
      <dgm:spPr/>
      <dgm:t>
        <a:bodyPr/>
        <a:lstStyle/>
        <a:p>
          <a:endParaRPr lang="en-NZ"/>
        </a:p>
      </dgm:t>
    </dgm:pt>
    <dgm:pt modelId="{5DC1A708-A765-459C-A75C-5D0095064A6F}" type="pres">
      <dgm:prSet presAssocID="{24B5EB3B-78AB-48A9-95D5-B87A1CE3C4D1}" presName="parTrans" presStyleLbl="sibTrans2D1" presStyleIdx="0" presStyleCnt="7"/>
      <dgm:spPr/>
      <dgm:t>
        <a:bodyPr/>
        <a:lstStyle/>
        <a:p>
          <a:endParaRPr lang="en-NZ"/>
        </a:p>
      </dgm:t>
    </dgm:pt>
    <dgm:pt modelId="{A5EE5A5A-A67D-4FC8-9DD1-243944742CBD}" type="pres">
      <dgm:prSet presAssocID="{24B5EB3B-78AB-48A9-95D5-B87A1CE3C4D1}" presName="connectorText" presStyleLbl="sibTrans2D1" presStyleIdx="0" presStyleCnt="7"/>
      <dgm:spPr/>
      <dgm:t>
        <a:bodyPr/>
        <a:lstStyle/>
        <a:p>
          <a:endParaRPr lang="en-NZ"/>
        </a:p>
      </dgm:t>
    </dgm:pt>
    <dgm:pt modelId="{CC57518B-5928-437E-96F3-58DD4527C013}" type="pres">
      <dgm:prSet presAssocID="{56047080-0944-4972-A73C-894246BCA026}" presName="node" presStyleLbl="node1" presStyleIdx="0" presStyleCnt="7">
        <dgm:presLayoutVars>
          <dgm:bulletEnabled val="1"/>
        </dgm:presLayoutVars>
      </dgm:prSet>
      <dgm:spPr/>
      <dgm:t>
        <a:bodyPr/>
        <a:lstStyle/>
        <a:p>
          <a:endParaRPr lang="en-NZ"/>
        </a:p>
      </dgm:t>
    </dgm:pt>
    <dgm:pt modelId="{4CC52FB9-5185-4ACD-AF7B-2846352DD353}" type="pres">
      <dgm:prSet presAssocID="{5C71507C-6C10-453B-A2B9-660DBC06FEB9}" presName="parTrans" presStyleLbl="sibTrans2D1" presStyleIdx="1" presStyleCnt="7"/>
      <dgm:spPr/>
      <dgm:t>
        <a:bodyPr/>
        <a:lstStyle/>
        <a:p>
          <a:endParaRPr lang="en-NZ"/>
        </a:p>
      </dgm:t>
    </dgm:pt>
    <dgm:pt modelId="{F3278306-9625-4547-82C9-636473470B3E}" type="pres">
      <dgm:prSet presAssocID="{5C71507C-6C10-453B-A2B9-660DBC06FEB9}" presName="connectorText" presStyleLbl="sibTrans2D1" presStyleIdx="1" presStyleCnt="7"/>
      <dgm:spPr/>
      <dgm:t>
        <a:bodyPr/>
        <a:lstStyle/>
        <a:p>
          <a:endParaRPr lang="en-NZ"/>
        </a:p>
      </dgm:t>
    </dgm:pt>
    <dgm:pt modelId="{B15FA43D-43A8-4CBA-8E39-B883D16E558D}" type="pres">
      <dgm:prSet presAssocID="{931C931A-EC94-4B6C-AB39-A715C036314C}" presName="node" presStyleLbl="node1" presStyleIdx="1" presStyleCnt="7">
        <dgm:presLayoutVars>
          <dgm:bulletEnabled val="1"/>
        </dgm:presLayoutVars>
      </dgm:prSet>
      <dgm:spPr/>
      <dgm:t>
        <a:bodyPr/>
        <a:lstStyle/>
        <a:p>
          <a:endParaRPr lang="en-NZ"/>
        </a:p>
      </dgm:t>
    </dgm:pt>
    <dgm:pt modelId="{D68A883C-5547-4DA6-8C52-B93FBFEF9409}" type="pres">
      <dgm:prSet presAssocID="{BD8D6CDE-79E6-4D21-8857-E3DB7147CD5F}" presName="parTrans" presStyleLbl="sibTrans2D1" presStyleIdx="2" presStyleCnt="7"/>
      <dgm:spPr/>
      <dgm:t>
        <a:bodyPr/>
        <a:lstStyle/>
        <a:p>
          <a:endParaRPr lang="en-NZ"/>
        </a:p>
      </dgm:t>
    </dgm:pt>
    <dgm:pt modelId="{586BF204-08E2-437C-87FE-891F098B2AE5}" type="pres">
      <dgm:prSet presAssocID="{BD8D6CDE-79E6-4D21-8857-E3DB7147CD5F}" presName="connectorText" presStyleLbl="sibTrans2D1" presStyleIdx="2" presStyleCnt="7"/>
      <dgm:spPr/>
      <dgm:t>
        <a:bodyPr/>
        <a:lstStyle/>
        <a:p>
          <a:endParaRPr lang="en-NZ"/>
        </a:p>
      </dgm:t>
    </dgm:pt>
    <dgm:pt modelId="{AEFF7F4B-6153-4BC0-B4D6-A719853DBAB3}" type="pres">
      <dgm:prSet presAssocID="{30A1299F-1A82-41B8-A016-07D62E6C7B44}" presName="node" presStyleLbl="node1" presStyleIdx="2" presStyleCnt="7">
        <dgm:presLayoutVars>
          <dgm:bulletEnabled val="1"/>
        </dgm:presLayoutVars>
      </dgm:prSet>
      <dgm:spPr/>
      <dgm:t>
        <a:bodyPr/>
        <a:lstStyle/>
        <a:p>
          <a:endParaRPr lang="en-NZ"/>
        </a:p>
      </dgm:t>
    </dgm:pt>
    <dgm:pt modelId="{0CE354B0-5C65-4720-B8FD-9BAB576AD703}" type="pres">
      <dgm:prSet presAssocID="{E0907D2D-04DA-4557-8E2D-992A144634BB}" presName="parTrans" presStyleLbl="sibTrans2D1" presStyleIdx="3" presStyleCnt="7"/>
      <dgm:spPr/>
      <dgm:t>
        <a:bodyPr/>
        <a:lstStyle/>
        <a:p>
          <a:endParaRPr lang="en-NZ"/>
        </a:p>
      </dgm:t>
    </dgm:pt>
    <dgm:pt modelId="{BD1D18E1-06FD-42BF-8B67-7EA5D61EF708}" type="pres">
      <dgm:prSet presAssocID="{E0907D2D-04DA-4557-8E2D-992A144634BB}" presName="connectorText" presStyleLbl="sibTrans2D1" presStyleIdx="3" presStyleCnt="7"/>
      <dgm:spPr/>
      <dgm:t>
        <a:bodyPr/>
        <a:lstStyle/>
        <a:p>
          <a:endParaRPr lang="en-NZ"/>
        </a:p>
      </dgm:t>
    </dgm:pt>
    <dgm:pt modelId="{3FDC9CA1-DA3D-4BC2-8AE0-F96D8AC44FBA}" type="pres">
      <dgm:prSet presAssocID="{DD7E83B8-5CEB-44C9-8755-BC671A6B48AA}" presName="node" presStyleLbl="node1" presStyleIdx="3" presStyleCnt="7">
        <dgm:presLayoutVars>
          <dgm:bulletEnabled val="1"/>
        </dgm:presLayoutVars>
      </dgm:prSet>
      <dgm:spPr/>
      <dgm:t>
        <a:bodyPr/>
        <a:lstStyle/>
        <a:p>
          <a:endParaRPr lang="en-NZ"/>
        </a:p>
      </dgm:t>
    </dgm:pt>
    <dgm:pt modelId="{7884BBE0-F8D1-4147-9E5A-98548BD5F370}" type="pres">
      <dgm:prSet presAssocID="{6B7FA1AF-2FE3-4B9D-9430-39965B94AB5B}" presName="parTrans" presStyleLbl="sibTrans2D1" presStyleIdx="4" presStyleCnt="7"/>
      <dgm:spPr/>
      <dgm:t>
        <a:bodyPr/>
        <a:lstStyle/>
        <a:p>
          <a:endParaRPr lang="en-NZ"/>
        </a:p>
      </dgm:t>
    </dgm:pt>
    <dgm:pt modelId="{0EFFCF4A-D0DE-4F4C-B39B-4A95718A604C}" type="pres">
      <dgm:prSet presAssocID="{6B7FA1AF-2FE3-4B9D-9430-39965B94AB5B}" presName="connectorText" presStyleLbl="sibTrans2D1" presStyleIdx="4" presStyleCnt="7"/>
      <dgm:spPr/>
      <dgm:t>
        <a:bodyPr/>
        <a:lstStyle/>
        <a:p>
          <a:endParaRPr lang="en-NZ"/>
        </a:p>
      </dgm:t>
    </dgm:pt>
    <dgm:pt modelId="{F7C1D749-0A6B-4ED8-87B1-6F2484A11097}" type="pres">
      <dgm:prSet presAssocID="{77706C77-344A-4E1E-B414-935E75090709}" presName="node" presStyleLbl="node1" presStyleIdx="4" presStyleCnt="7">
        <dgm:presLayoutVars>
          <dgm:bulletEnabled val="1"/>
        </dgm:presLayoutVars>
      </dgm:prSet>
      <dgm:spPr/>
      <dgm:t>
        <a:bodyPr/>
        <a:lstStyle/>
        <a:p>
          <a:endParaRPr lang="en-NZ"/>
        </a:p>
      </dgm:t>
    </dgm:pt>
    <dgm:pt modelId="{F2FBA4E7-76B9-44DF-AF63-C797574652F6}" type="pres">
      <dgm:prSet presAssocID="{3B316103-0D7C-45C8-874C-9CD54065060E}" presName="parTrans" presStyleLbl="sibTrans2D1" presStyleIdx="5" presStyleCnt="7"/>
      <dgm:spPr/>
      <dgm:t>
        <a:bodyPr/>
        <a:lstStyle/>
        <a:p>
          <a:endParaRPr lang="en-NZ"/>
        </a:p>
      </dgm:t>
    </dgm:pt>
    <dgm:pt modelId="{EC96D5E7-8178-4200-AC54-567179F18B21}" type="pres">
      <dgm:prSet presAssocID="{3B316103-0D7C-45C8-874C-9CD54065060E}" presName="connectorText" presStyleLbl="sibTrans2D1" presStyleIdx="5" presStyleCnt="7"/>
      <dgm:spPr/>
      <dgm:t>
        <a:bodyPr/>
        <a:lstStyle/>
        <a:p>
          <a:endParaRPr lang="en-NZ"/>
        </a:p>
      </dgm:t>
    </dgm:pt>
    <dgm:pt modelId="{62B9C5C8-1371-4ECA-8111-96312BECA90E}" type="pres">
      <dgm:prSet presAssocID="{DECE2387-475F-4292-BFF4-BA1CB30EC099}" presName="node" presStyleLbl="node1" presStyleIdx="5" presStyleCnt="7">
        <dgm:presLayoutVars>
          <dgm:bulletEnabled val="1"/>
        </dgm:presLayoutVars>
      </dgm:prSet>
      <dgm:spPr/>
      <dgm:t>
        <a:bodyPr/>
        <a:lstStyle/>
        <a:p>
          <a:endParaRPr lang="en-NZ"/>
        </a:p>
      </dgm:t>
    </dgm:pt>
    <dgm:pt modelId="{6B1E3F21-114C-4640-88BF-D7AA4B5DD3F9}" type="pres">
      <dgm:prSet presAssocID="{3A7131B0-8171-43CE-B23C-8987C98B5E26}" presName="parTrans" presStyleLbl="sibTrans2D1" presStyleIdx="6" presStyleCnt="7"/>
      <dgm:spPr/>
      <dgm:t>
        <a:bodyPr/>
        <a:lstStyle/>
        <a:p>
          <a:endParaRPr lang="en-NZ"/>
        </a:p>
      </dgm:t>
    </dgm:pt>
    <dgm:pt modelId="{C6FF5687-EDB0-4620-83EC-95EA578BDFBF}" type="pres">
      <dgm:prSet presAssocID="{3A7131B0-8171-43CE-B23C-8987C98B5E26}" presName="connectorText" presStyleLbl="sibTrans2D1" presStyleIdx="6" presStyleCnt="7"/>
      <dgm:spPr/>
      <dgm:t>
        <a:bodyPr/>
        <a:lstStyle/>
        <a:p>
          <a:endParaRPr lang="en-NZ"/>
        </a:p>
      </dgm:t>
    </dgm:pt>
    <dgm:pt modelId="{F3EE73C6-CCC7-4ADE-BCA9-C9BEA441347F}" type="pres">
      <dgm:prSet presAssocID="{CD7172E9-BD13-4293-8038-4D304C97B80B}" presName="node" presStyleLbl="node1" presStyleIdx="6" presStyleCnt="7">
        <dgm:presLayoutVars>
          <dgm:bulletEnabled val="1"/>
        </dgm:presLayoutVars>
      </dgm:prSet>
      <dgm:spPr/>
      <dgm:t>
        <a:bodyPr/>
        <a:lstStyle/>
        <a:p>
          <a:endParaRPr lang="en-NZ"/>
        </a:p>
      </dgm:t>
    </dgm:pt>
  </dgm:ptLst>
  <dgm:cxnLst>
    <dgm:cxn modelId="{66233360-6001-411E-A06A-29E354C59FB4}" srcId="{7564B980-353E-445C-A570-4DD3A69AE5ED}" destId="{DD7E83B8-5CEB-44C9-8755-BC671A6B48AA}" srcOrd="3" destOrd="0" parTransId="{E0907D2D-04DA-4557-8E2D-992A144634BB}" sibTransId="{3D4CE238-9FCB-45E3-9A07-3FC5CEE0D08C}"/>
    <dgm:cxn modelId="{F6658DF3-787B-42EA-A8F6-681265773613}" srcId="{7564B980-353E-445C-A570-4DD3A69AE5ED}" destId="{30A1299F-1A82-41B8-A016-07D62E6C7B44}" srcOrd="2" destOrd="0" parTransId="{BD8D6CDE-79E6-4D21-8857-E3DB7147CD5F}" sibTransId="{EC9A1D6F-022C-4467-B94A-C2E1FE1ADABB}"/>
    <dgm:cxn modelId="{4D1ECA2B-1821-499C-8069-5630A89D59EA}" type="presOf" srcId="{24B5EB3B-78AB-48A9-95D5-B87A1CE3C4D1}" destId="{5DC1A708-A765-459C-A75C-5D0095064A6F}" srcOrd="0" destOrd="0" presId="urn:microsoft.com/office/officeart/2005/8/layout/radial5"/>
    <dgm:cxn modelId="{EB1FD88F-1137-4A77-A69C-CAB13D8D95F6}" type="presOf" srcId="{5C71507C-6C10-453B-A2B9-660DBC06FEB9}" destId="{F3278306-9625-4547-82C9-636473470B3E}" srcOrd="1" destOrd="0" presId="urn:microsoft.com/office/officeart/2005/8/layout/radial5"/>
    <dgm:cxn modelId="{2C34525F-666B-4FF8-BD9C-708C607239EE}" type="presOf" srcId="{3B316103-0D7C-45C8-874C-9CD54065060E}" destId="{EC96D5E7-8178-4200-AC54-567179F18B21}" srcOrd="1" destOrd="0" presId="urn:microsoft.com/office/officeart/2005/8/layout/radial5"/>
    <dgm:cxn modelId="{CA4E5C4F-E671-4315-B143-F4A634AF927A}" srcId="{2DAB2B8D-A5E4-49D6-8181-88236E48D935}" destId="{7564B980-353E-445C-A570-4DD3A69AE5ED}" srcOrd="0" destOrd="0" parTransId="{CBF03FB1-28AE-4BE0-BE6D-EEF4F51ED9E6}" sibTransId="{FC05ADA2-70BF-490D-B78A-3D43AE972A72}"/>
    <dgm:cxn modelId="{F7443AF0-12AB-47AB-B068-7D00BA51EE01}" type="presOf" srcId="{77706C77-344A-4E1E-B414-935E75090709}" destId="{F7C1D749-0A6B-4ED8-87B1-6F2484A11097}" srcOrd="0" destOrd="0" presId="urn:microsoft.com/office/officeart/2005/8/layout/radial5"/>
    <dgm:cxn modelId="{BB663002-D226-4E83-9BEB-FED4423C8447}" type="presOf" srcId="{30A1299F-1A82-41B8-A016-07D62E6C7B44}" destId="{AEFF7F4B-6153-4BC0-B4D6-A719853DBAB3}" srcOrd="0" destOrd="0" presId="urn:microsoft.com/office/officeart/2005/8/layout/radial5"/>
    <dgm:cxn modelId="{9AB8D601-FCD4-4656-B49B-9DE83771D209}" type="presOf" srcId="{3A7131B0-8171-43CE-B23C-8987C98B5E26}" destId="{6B1E3F21-114C-4640-88BF-D7AA4B5DD3F9}" srcOrd="0" destOrd="0" presId="urn:microsoft.com/office/officeart/2005/8/layout/radial5"/>
    <dgm:cxn modelId="{5A017DD5-D2F2-40D0-8029-F0D14D5F4CC3}" srcId="{7564B980-353E-445C-A570-4DD3A69AE5ED}" destId="{CD7172E9-BD13-4293-8038-4D304C97B80B}" srcOrd="6" destOrd="0" parTransId="{3A7131B0-8171-43CE-B23C-8987C98B5E26}" sibTransId="{A0F3A81F-4DDF-428D-8F89-82987E4B5FF1}"/>
    <dgm:cxn modelId="{A6001850-4A4C-4F74-8AAD-9107043EE6DA}" type="presOf" srcId="{BD8D6CDE-79E6-4D21-8857-E3DB7147CD5F}" destId="{586BF204-08E2-437C-87FE-891F098B2AE5}" srcOrd="1" destOrd="0" presId="urn:microsoft.com/office/officeart/2005/8/layout/radial5"/>
    <dgm:cxn modelId="{B95E463C-829C-47E0-8A69-B89DD4947F75}" type="presOf" srcId="{24B5EB3B-78AB-48A9-95D5-B87A1CE3C4D1}" destId="{A5EE5A5A-A67D-4FC8-9DD1-243944742CBD}" srcOrd="1" destOrd="0" presId="urn:microsoft.com/office/officeart/2005/8/layout/radial5"/>
    <dgm:cxn modelId="{5D270694-BC0D-4CDD-93E9-69005B12679B}" type="presOf" srcId="{3B316103-0D7C-45C8-874C-9CD54065060E}" destId="{F2FBA4E7-76B9-44DF-AF63-C797574652F6}" srcOrd="0" destOrd="0" presId="urn:microsoft.com/office/officeart/2005/8/layout/radial5"/>
    <dgm:cxn modelId="{76F40910-4D9E-4CE8-82A9-DF4D8041B586}" type="presOf" srcId="{BD8D6CDE-79E6-4D21-8857-E3DB7147CD5F}" destId="{D68A883C-5547-4DA6-8C52-B93FBFEF9409}" srcOrd="0" destOrd="0" presId="urn:microsoft.com/office/officeart/2005/8/layout/radial5"/>
    <dgm:cxn modelId="{CF9A8C03-D06D-4A58-93ED-57AD64EF3913}" type="presOf" srcId="{931C931A-EC94-4B6C-AB39-A715C036314C}" destId="{B15FA43D-43A8-4CBA-8E39-B883D16E558D}" srcOrd="0" destOrd="0" presId="urn:microsoft.com/office/officeart/2005/8/layout/radial5"/>
    <dgm:cxn modelId="{4704876E-8B9A-4B5F-91AA-84DEDB875884}" type="presOf" srcId="{E0907D2D-04DA-4557-8E2D-992A144634BB}" destId="{BD1D18E1-06FD-42BF-8B67-7EA5D61EF708}" srcOrd="1" destOrd="0" presId="urn:microsoft.com/office/officeart/2005/8/layout/radial5"/>
    <dgm:cxn modelId="{DA53E862-EE18-4D6D-864C-965B0E0CE5CD}" type="presOf" srcId="{5C71507C-6C10-453B-A2B9-660DBC06FEB9}" destId="{4CC52FB9-5185-4ACD-AF7B-2846352DD353}" srcOrd="0" destOrd="0" presId="urn:microsoft.com/office/officeart/2005/8/layout/radial5"/>
    <dgm:cxn modelId="{72057794-6834-4A31-90C5-C9547C9441B8}" srcId="{7564B980-353E-445C-A570-4DD3A69AE5ED}" destId="{DECE2387-475F-4292-BFF4-BA1CB30EC099}" srcOrd="5" destOrd="0" parTransId="{3B316103-0D7C-45C8-874C-9CD54065060E}" sibTransId="{B7CB6C5F-4B6F-43E3-A0C7-D5BB7C6B925A}"/>
    <dgm:cxn modelId="{EFBA08FC-621E-4812-B26C-76D653E753A4}" type="presOf" srcId="{CD7172E9-BD13-4293-8038-4D304C97B80B}" destId="{F3EE73C6-CCC7-4ADE-BCA9-C9BEA441347F}" srcOrd="0" destOrd="0" presId="urn:microsoft.com/office/officeart/2005/8/layout/radial5"/>
    <dgm:cxn modelId="{CCE2B036-6E2A-4248-BABC-87242C0C1DDC}" type="presOf" srcId="{DECE2387-475F-4292-BFF4-BA1CB30EC099}" destId="{62B9C5C8-1371-4ECA-8111-96312BECA90E}" srcOrd="0" destOrd="0" presId="urn:microsoft.com/office/officeart/2005/8/layout/radial5"/>
    <dgm:cxn modelId="{B126D7E2-D701-4150-9842-87ED3AF2F7BF}" type="presOf" srcId="{2DAB2B8D-A5E4-49D6-8181-88236E48D935}" destId="{C70B5C6A-F822-4870-8F44-E745ECE34B45}" srcOrd="0" destOrd="0" presId="urn:microsoft.com/office/officeart/2005/8/layout/radial5"/>
    <dgm:cxn modelId="{30DA059D-B428-4910-AACB-1926ADCC21F9}" type="presOf" srcId="{E0907D2D-04DA-4557-8E2D-992A144634BB}" destId="{0CE354B0-5C65-4720-B8FD-9BAB576AD703}" srcOrd="0" destOrd="0" presId="urn:microsoft.com/office/officeart/2005/8/layout/radial5"/>
    <dgm:cxn modelId="{26DF6F8E-DF6E-4BB7-BCB4-9F30B5CB27EA}" srcId="{7564B980-353E-445C-A570-4DD3A69AE5ED}" destId="{931C931A-EC94-4B6C-AB39-A715C036314C}" srcOrd="1" destOrd="0" parTransId="{5C71507C-6C10-453B-A2B9-660DBC06FEB9}" sibTransId="{B146D8C2-FBAA-4193-8F92-79DA9A7FA454}"/>
    <dgm:cxn modelId="{A386481B-A599-40F5-9CB1-A645C3E375AD}" srcId="{7564B980-353E-445C-A570-4DD3A69AE5ED}" destId="{77706C77-344A-4E1E-B414-935E75090709}" srcOrd="4" destOrd="0" parTransId="{6B7FA1AF-2FE3-4B9D-9430-39965B94AB5B}" sibTransId="{CCBD7847-A0F6-4F1F-A1F9-156A3B5D386C}"/>
    <dgm:cxn modelId="{E635C20F-7A76-4BE2-9537-DF892B8353E5}" type="presOf" srcId="{7564B980-353E-445C-A570-4DD3A69AE5ED}" destId="{648C1339-4F81-4621-94A0-0C25A06AF56B}" srcOrd="0" destOrd="0" presId="urn:microsoft.com/office/officeart/2005/8/layout/radial5"/>
    <dgm:cxn modelId="{2568D59E-64CF-4150-9AC0-DC9888002E06}" type="presOf" srcId="{DD7E83B8-5CEB-44C9-8755-BC671A6B48AA}" destId="{3FDC9CA1-DA3D-4BC2-8AE0-F96D8AC44FBA}" srcOrd="0" destOrd="0" presId="urn:microsoft.com/office/officeart/2005/8/layout/radial5"/>
    <dgm:cxn modelId="{B3E65021-7A91-4DEF-BD49-173B7312AC1D}" type="presOf" srcId="{3A7131B0-8171-43CE-B23C-8987C98B5E26}" destId="{C6FF5687-EDB0-4620-83EC-95EA578BDFBF}" srcOrd="1" destOrd="0" presId="urn:microsoft.com/office/officeart/2005/8/layout/radial5"/>
    <dgm:cxn modelId="{C80D5F1D-C2B4-46CC-9CE1-3C7988DDE9BB}" type="presOf" srcId="{6B7FA1AF-2FE3-4B9D-9430-39965B94AB5B}" destId="{7884BBE0-F8D1-4147-9E5A-98548BD5F370}" srcOrd="0" destOrd="0" presId="urn:microsoft.com/office/officeart/2005/8/layout/radial5"/>
    <dgm:cxn modelId="{32DC60B9-5C73-41AA-B745-725DC3C47FD9}" type="presOf" srcId="{56047080-0944-4972-A73C-894246BCA026}" destId="{CC57518B-5928-437E-96F3-58DD4527C013}" srcOrd="0" destOrd="0" presId="urn:microsoft.com/office/officeart/2005/8/layout/radial5"/>
    <dgm:cxn modelId="{07C37FD7-26CA-4F24-B534-2C99CFC6AFFB}" srcId="{7564B980-353E-445C-A570-4DD3A69AE5ED}" destId="{56047080-0944-4972-A73C-894246BCA026}" srcOrd="0" destOrd="0" parTransId="{24B5EB3B-78AB-48A9-95D5-B87A1CE3C4D1}" sibTransId="{5C2E007A-6526-4E74-B453-4B172EBC630A}"/>
    <dgm:cxn modelId="{1C08E590-B573-4883-B73C-38F7AD9D47B5}" type="presOf" srcId="{6B7FA1AF-2FE3-4B9D-9430-39965B94AB5B}" destId="{0EFFCF4A-D0DE-4F4C-B39B-4A95718A604C}" srcOrd="1" destOrd="0" presId="urn:microsoft.com/office/officeart/2005/8/layout/radial5"/>
    <dgm:cxn modelId="{15CBFBC8-7766-4E33-A59B-F3EECBFD861D}" type="presParOf" srcId="{C70B5C6A-F822-4870-8F44-E745ECE34B45}" destId="{648C1339-4F81-4621-94A0-0C25A06AF56B}" srcOrd="0" destOrd="0" presId="urn:microsoft.com/office/officeart/2005/8/layout/radial5"/>
    <dgm:cxn modelId="{DDB82024-0733-41A0-96B0-49060C1A9E65}" type="presParOf" srcId="{C70B5C6A-F822-4870-8F44-E745ECE34B45}" destId="{5DC1A708-A765-459C-A75C-5D0095064A6F}" srcOrd="1" destOrd="0" presId="urn:microsoft.com/office/officeart/2005/8/layout/radial5"/>
    <dgm:cxn modelId="{BFEB49FB-9031-4012-A74A-31D2979EE111}" type="presParOf" srcId="{5DC1A708-A765-459C-A75C-5D0095064A6F}" destId="{A5EE5A5A-A67D-4FC8-9DD1-243944742CBD}" srcOrd="0" destOrd="0" presId="urn:microsoft.com/office/officeart/2005/8/layout/radial5"/>
    <dgm:cxn modelId="{C9470496-EF02-40F0-980D-366C0790E121}" type="presParOf" srcId="{C70B5C6A-F822-4870-8F44-E745ECE34B45}" destId="{CC57518B-5928-437E-96F3-58DD4527C013}" srcOrd="2" destOrd="0" presId="urn:microsoft.com/office/officeart/2005/8/layout/radial5"/>
    <dgm:cxn modelId="{1B3DB5EC-0A35-481B-923B-48899CC61EAF}" type="presParOf" srcId="{C70B5C6A-F822-4870-8F44-E745ECE34B45}" destId="{4CC52FB9-5185-4ACD-AF7B-2846352DD353}" srcOrd="3" destOrd="0" presId="urn:microsoft.com/office/officeart/2005/8/layout/radial5"/>
    <dgm:cxn modelId="{C704D37B-8F1C-423C-8126-FAB81A645517}" type="presParOf" srcId="{4CC52FB9-5185-4ACD-AF7B-2846352DD353}" destId="{F3278306-9625-4547-82C9-636473470B3E}" srcOrd="0" destOrd="0" presId="urn:microsoft.com/office/officeart/2005/8/layout/radial5"/>
    <dgm:cxn modelId="{ABA3627B-7258-4EB2-84BE-12C4F023C422}" type="presParOf" srcId="{C70B5C6A-F822-4870-8F44-E745ECE34B45}" destId="{B15FA43D-43A8-4CBA-8E39-B883D16E558D}" srcOrd="4" destOrd="0" presId="urn:microsoft.com/office/officeart/2005/8/layout/radial5"/>
    <dgm:cxn modelId="{9DD72721-37A2-4CDA-AC2C-27268DE91C07}" type="presParOf" srcId="{C70B5C6A-F822-4870-8F44-E745ECE34B45}" destId="{D68A883C-5547-4DA6-8C52-B93FBFEF9409}" srcOrd="5" destOrd="0" presId="urn:microsoft.com/office/officeart/2005/8/layout/radial5"/>
    <dgm:cxn modelId="{4A5DC5F3-10BB-41DB-A1F1-563FA34E944C}" type="presParOf" srcId="{D68A883C-5547-4DA6-8C52-B93FBFEF9409}" destId="{586BF204-08E2-437C-87FE-891F098B2AE5}" srcOrd="0" destOrd="0" presId="urn:microsoft.com/office/officeart/2005/8/layout/radial5"/>
    <dgm:cxn modelId="{47E01D87-1EE0-4426-8D3A-60C349C3E34C}" type="presParOf" srcId="{C70B5C6A-F822-4870-8F44-E745ECE34B45}" destId="{AEFF7F4B-6153-4BC0-B4D6-A719853DBAB3}" srcOrd="6" destOrd="0" presId="urn:microsoft.com/office/officeart/2005/8/layout/radial5"/>
    <dgm:cxn modelId="{E11AA7C3-28FF-4CF6-BDBF-596615519B46}" type="presParOf" srcId="{C70B5C6A-F822-4870-8F44-E745ECE34B45}" destId="{0CE354B0-5C65-4720-B8FD-9BAB576AD703}" srcOrd="7" destOrd="0" presId="urn:microsoft.com/office/officeart/2005/8/layout/radial5"/>
    <dgm:cxn modelId="{AA77E4F5-4236-42C3-926E-46A953389F2B}" type="presParOf" srcId="{0CE354B0-5C65-4720-B8FD-9BAB576AD703}" destId="{BD1D18E1-06FD-42BF-8B67-7EA5D61EF708}" srcOrd="0" destOrd="0" presId="urn:microsoft.com/office/officeart/2005/8/layout/radial5"/>
    <dgm:cxn modelId="{3955F736-9AD9-4992-B589-FEE0F720246A}" type="presParOf" srcId="{C70B5C6A-F822-4870-8F44-E745ECE34B45}" destId="{3FDC9CA1-DA3D-4BC2-8AE0-F96D8AC44FBA}" srcOrd="8" destOrd="0" presId="urn:microsoft.com/office/officeart/2005/8/layout/radial5"/>
    <dgm:cxn modelId="{0B1C65C6-D654-4AD7-A126-ADC4BB6D6909}" type="presParOf" srcId="{C70B5C6A-F822-4870-8F44-E745ECE34B45}" destId="{7884BBE0-F8D1-4147-9E5A-98548BD5F370}" srcOrd="9" destOrd="0" presId="urn:microsoft.com/office/officeart/2005/8/layout/radial5"/>
    <dgm:cxn modelId="{65EDF73F-C2F7-40A4-92C9-235432F43DFB}" type="presParOf" srcId="{7884BBE0-F8D1-4147-9E5A-98548BD5F370}" destId="{0EFFCF4A-D0DE-4F4C-B39B-4A95718A604C}" srcOrd="0" destOrd="0" presId="urn:microsoft.com/office/officeart/2005/8/layout/radial5"/>
    <dgm:cxn modelId="{BC285B62-D8B2-42F0-A684-CA42DC2E2AB4}" type="presParOf" srcId="{C70B5C6A-F822-4870-8F44-E745ECE34B45}" destId="{F7C1D749-0A6B-4ED8-87B1-6F2484A11097}" srcOrd="10" destOrd="0" presId="urn:microsoft.com/office/officeart/2005/8/layout/radial5"/>
    <dgm:cxn modelId="{4D731B48-BA04-49AC-8482-39850A98322F}" type="presParOf" srcId="{C70B5C6A-F822-4870-8F44-E745ECE34B45}" destId="{F2FBA4E7-76B9-44DF-AF63-C797574652F6}" srcOrd="11" destOrd="0" presId="urn:microsoft.com/office/officeart/2005/8/layout/radial5"/>
    <dgm:cxn modelId="{FC91693E-20D9-4FDB-9EBA-D39499234E98}" type="presParOf" srcId="{F2FBA4E7-76B9-44DF-AF63-C797574652F6}" destId="{EC96D5E7-8178-4200-AC54-567179F18B21}" srcOrd="0" destOrd="0" presId="urn:microsoft.com/office/officeart/2005/8/layout/radial5"/>
    <dgm:cxn modelId="{DD72D265-AA37-460D-98B9-3DAA8A541A57}" type="presParOf" srcId="{C70B5C6A-F822-4870-8F44-E745ECE34B45}" destId="{62B9C5C8-1371-4ECA-8111-96312BECA90E}" srcOrd="12" destOrd="0" presId="urn:microsoft.com/office/officeart/2005/8/layout/radial5"/>
    <dgm:cxn modelId="{1C249C12-071C-41E5-B172-78079F1B9867}" type="presParOf" srcId="{C70B5C6A-F822-4870-8F44-E745ECE34B45}" destId="{6B1E3F21-114C-4640-88BF-D7AA4B5DD3F9}" srcOrd="13" destOrd="0" presId="urn:microsoft.com/office/officeart/2005/8/layout/radial5"/>
    <dgm:cxn modelId="{02728D02-6FDE-45A4-8538-D22482E8BE44}" type="presParOf" srcId="{6B1E3F21-114C-4640-88BF-D7AA4B5DD3F9}" destId="{C6FF5687-EDB0-4620-83EC-95EA578BDFBF}" srcOrd="0" destOrd="0" presId="urn:microsoft.com/office/officeart/2005/8/layout/radial5"/>
    <dgm:cxn modelId="{89047E06-FF9D-4B70-A6F3-B37B52CEA77A}" type="presParOf" srcId="{C70B5C6A-F822-4870-8F44-E745ECE34B45}" destId="{F3EE73C6-CCC7-4ADE-BCA9-C9BEA441347F}" srcOrd="14" destOrd="0" presId="urn:microsoft.com/office/officeart/2005/8/layout/radial5"/>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DAB2B8D-A5E4-49D6-8181-88236E48D935}" type="doc">
      <dgm:prSet loTypeId="urn:microsoft.com/office/officeart/2005/8/layout/radial6" loCatId="cycle" qsTypeId="urn:microsoft.com/office/officeart/2005/8/quickstyle/simple2" qsCatId="simple" csTypeId="urn:microsoft.com/office/officeart/2005/8/colors/colorful3" csCatId="colorful" phldr="1"/>
      <dgm:spPr/>
      <dgm:t>
        <a:bodyPr/>
        <a:lstStyle/>
        <a:p>
          <a:endParaRPr lang="en-NZ"/>
        </a:p>
      </dgm:t>
    </dgm:pt>
    <dgm:pt modelId="{7564B980-353E-445C-A570-4DD3A69AE5ED}">
      <dgm:prSet phldrT="[Text]"/>
      <dgm:spPr/>
      <dgm:t>
        <a:bodyPr/>
        <a:lstStyle/>
        <a:p>
          <a:r>
            <a:rPr lang="en-NZ"/>
            <a:t>Public Private Partnership</a:t>
          </a:r>
        </a:p>
      </dgm:t>
    </dgm:pt>
    <dgm:pt modelId="{CBF03FB1-28AE-4BE0-BE6D-EEF4F51ED9E6}" type="parTrans" cxnId="{CA4E5C4F-E671-4315-B143-F4A634AF927A}">
      <dgm:prSet/>
      <dgm:spPr/>
      <dgm:t>
        <a:bodyPr/>
        <a:lstStyle/>
        <a:p>
          <a:endParaRPr lang="en-NZ"/>
        </a:p>
      </dgm:t>
    </dgm:pt>
    <dgm:pt modelId="{FC05ADA2-70BF-490D-B78A-3D43AE972A72}" type="sibTrans" cxnId="{CA4E5C4F-E671-4315-B143-F4A634AF927A}">
      <dgm:prSet/>
      <dgm:spPr/>
      <dgm:t>
        <a:bodyPr/>
        <a:lstStyle/>
        <a:p>
          <a:endParaRPr lang="en-NZ"/>
        </a:p>
      </dgm:t>
    </dgm:pt>
    <dgm:pt modelId="{56047080-0944-4972-A73C-894246BCA026}">
      <dgm:prSet phldrT="[Text]"/>
      <dgm:spPr/>
      <dgm:t>
        <a:bodyPr/>
        <a:lstStyle/>
        <a:p>
          <a:r>
            <a:rPr lang="en-NZ"/>
            <a:t>Councils</a:t>
          </a:r>
        </a:p>
      </dgm:t>
    </dgm:pt>
    <dgm:pt modelId="{24B5EB3B-78AB-48A9-95D5-B87A1CE3C4D1}" type="parTrans" cxnId="{07C37FD7-26CA-4F24-B534-2C99CFC6AFFB}">
      <dgm:prSet/>
      <dgm:spPr/>
      <dgm:t>
        <a:bodyPr/>
        <a:lstStyle/>
        <a:p>
          <a:endParaRPr lang="en-NZ"/>
        </a:p>
      </dgm:t>
    </dgm:pt>
    <dgm:pt modelId="{5C2E007A-6526-4E74-B453-4B172EBC630A}" type="sibTrans" cxnId="{07C37FD7-26CA-4F24-B534-2C99CFC6AFFB}">
      <dgm:prSet/>
      <dgm:spPr/>
      <dgm:t>
        <a:bodyPr/>
        <a:lstStyle/>
        <a:p>
          <a:endParaRPr lang="en-NZ"/>
        </a:p>
      </dgm:t>
    </dgm:pt>
    <dgm:pt modelId="{30A1299F-1A82-41B8-A016-07D62E6C7B44}">
      <dgm:prSet phldrT="[Text]"/>
      <dgm:spPr/>
      <dgm:t>
        <a:bodyPr/>
        <a:lstStyle/>
        <a:p>
          <a:r>
            <a:rPr lang="en-NZ"/>
            <a:t>HNZ</a:t>
          </a:r>
        </a:p>
      </dgm:t>
    </dgm:pt>
    <dgm:pt modelId="{BD8D6CDE-79E6-4D21-8857-E3DB7147CD5F}" type="parTrans" cxnId="{F6658DF3-787B-42EA-A8F6-681265773613}">
      <dgm:prSet/>
      <dgm:spPr/>
      <dgm:t>
        <a:bodyPr/>
        <a:lstStyle/>
        <a:p>
          <a:endParaRPr lang="en-NZ"/>
        </a:p>
      </dgm:t>
    </dgm:pt>
    <dgm:pt modelId="{EC9A1D6F-022C-4467-B94A-C2E1FE1ADABB}" type="sibTrans" cxnId="{F6658DF3-787B-42EA-A8F6-681265773613}">
      <dgm:prSet/>
      <dgm:spPr/>
      <dgm:t>
        <a:bodyPr/>
        <a:lstStyle/>
        <a:p>
          <a:endParaRPr lang="en-NZ"/>
        </a:p>
      </dgm:t>
    </dgm:pt>
    <dgm:pt modelId="{DD7E83B8-5CEB-44C9-8755-BC671A6B48AA}">
      <dgm:prSet phldrT="[Text]"/>
      <dgm:spPr/>
      <dgm:t>
        <a:bodyPr/>
        <a:lstStyle/>
        <a:p>
          <a:r>
            <a:rPr lang="en-NZ"/>
            <a:t>TPK</a:t>
          </a:r>
        </a:p>
      </dgm:t>
    </dgm:pt>
    <dgm:pt modelId="{E0907D2D-04DA-4557-8E2D-992A144634BB}" type="parTrans" cxnId="{66233360-6001-411E-A06A-29E354C59FB4}">
      <dgm:prSet/>
      <dgm:spPr/>
      <dgm:t>
        <a:bodyPr/>
        <a:lstStyle/>
        <a:p>
          <a:endParaRPr lang="en-NZ"/>
        </a:p>
      </dgm:t>
    </dgm:pt>
    <dgm:pt modelId="{3D4CE238-9FCB-45E3-9A07-3FC5CEE0D08C}" type="sibTrans" cxnId="{66233360-6001-411E-A06A-29E354C59FB4}">
      <dgm:prSet/>
      <dgm:spPr/>
      <dgm:t>
        <a:bodyPr/>
        <a:lstStyle/>
        <a:p>
          <a:endParaRPr lang="en-NZ"/>
        </a:p>
      </dgm:t>
    </dgm:pt>
    <dgm:pt modelId="{77706C77-344A-4E1E-B414-935E75090709}">
      <dgm:prSet phldrT="[Text]"/>
      <dgm:spPr/>
      <dgm:t>
        <a:bodyPr/>
        <a:lstStyle/>
        <a:p>
          <a:r>
            <a:rPr lang="en-NZ"/>
            <a:t>NZTA</a:t>
          </a:r>
        </a:p>
      </dgm:t>
    </dgm:pt>
    <dgm:pt modelId="{6B7FA1AF-2FE3-4B9D-9430-39965B94AB5B}" type="parTrans" cxnId="{A386481B-A599-40F5-9CB1-A645C3E375AD}">
      <dgm:prSet/>
      <dgm:spPr/>
      <dgm:t>
        <a:bodyPr/>
        <a:lstStyle/>
        <a:p>
          <a:endParaRPr lang="en-NZ"/>
        </a:p>
      </dgm:t>
    </dgm:pt>
    <dgm:pt modelId="{CCBD7847-A0F6-4F1F-A1F9-156A3B5D386C}" type="sibTrans" cxnId="{A386481B-A599-40F5-9CB1-A645C3E375AD}">
      <dgm:prSet/>
      <dgm:spPr/>
      <dgm:t>
        <a:bodyPr/>
        <a:lstStyle/>
        <a:p>
          <a:endParaRPr lang="en-NZ"/>
        </a:p>
      </dgm:t>
    </dgm:pt>
    <dgm:pt modelId="{CD7172E9-BD13-4293-8038-4D304C97B80B}">
      <dgm:prSet/>
      <dgm:spPr/>
      <dgm:t>
        <a:bodyPr/>
        <a:lstStyle/>
        <a:p>
          <a:r>
            <a:rPr lang="en-NZ"/>
            <a:t>Community Housing Sector</a:t>
          </a:r>
        </a:p>
      </dgm:t>
    </dgm:pt>
    <dgm:pt modelId="{3A7131B0-8171-43CE-B23C-8987C98B5E26}" type="parTrans" cxnId="{5A017DD5-D2F2-40D0-8029-F0D14D5F4CC3}">
      <dgm:prSet/>
      <dgm:spPr/>
      <dgm:t>
        <a:bodyPr/>
        <a:lstStyle/>
        <a:p>
          <a:endParaRPr lang="en-NZ"/>
        </a:p>
      </dgm:t>
    </dgm:pt>
    <dgm:pt modelId="{A0F3A81F-4DDF-428D-8F89-82987E4B5FF1}" type="sibTrans" cxnId="{5A017DD5-D2F2-40D0-8029-F0D14D5F4CC3}">
      <dgm:prSet/>
      <dgm:spPr/>
      <dgm:t>
        <a:bodyPr/>
        <a:lstStyle/>
        <a:p>
          <a:endParaRPr lang="en-NZ"/>
        </a:p>
      </dgm:t>
    </dgm:pt>
    <dgm:pt modelId="{DECE2387-475F-4292-BFF4-BA1CB30EC099}">
      <dgm:prSet/>
      <dgm:spPr/>
      <dgm:t>
        <a:bodyPr/>
        <a:lstStyle/>
        <a:p>
          <a:r>
            <a:rPr lang="en-NZ"/>
            <a:t>Developers</a:t>
          </a:r>
        </a:p>
      </dgm:t>
    </dgm:pt>
    <dgm:pt modelId="{3B316103-0D7C-45C8-874C-9CD54065060E}" type="parTrans" cxnId="{72057794-6834-4A31-90C5-C9547C9441B8}">
      <dgm:prSet/>
      <dgm:spPr/>
      <dgm:t>
        <a:bodyPr/>
        <a:lstStyle/>
        <a:p>
          <a:endParaRPr lang="en-NZ"/>
        </a:p>
      </dgm:t>
    </dgm:pt>
    <dgm:pt modelId="{B7CB6C5F-4B6F-43E3-A0C7-D5BB7C6B925A}" type="sibTrans" cxnId="{72057794-6834-4A31-90C5-C9547C9441B8}">
      <dgm:prSet/>
      <dgm:spPr/>
      <dgm:t>
        <a:bodyPr/>
        <a:lstStyle/>
        <a:p>
          <a:endParaRPr lang="en-NZ"/>
        </a:p>
      </dgm:t>
    </dgm:pt>
    <dgm:pt modelId="{931C931A-EC94-4B6C-AB39-A715C036314C}">
      <dgm:prSet/>
      <dgm:spPr/>
      <dgm:t>
        <a:bodyPr/>
        <a:lstStyle/>
        <a:p>
          <a:r>
            <a:rPr lang="en-NZ"/>
            <a:t>Crown (land)</a:t>
          </a:r>
        </a:p>
      </dgm:t>
    </dgm:pt>
    <dgm:pt modelId="{5C71507C-6C10-453B-A2B9-660DBC06FEB9}" type="parTrans" cxnId="{26DF6F8E-DF6E-4BB7-BCB4-9F30B5CB27EA}">
      <dgm:prSet/>
      <dgm:spPr/>
      <dgm:t>
        <a:bodyPr/>
        <a:lstStyle/>
        <a:p>
          <a:endParaRPr lang="en-NZ"/>
        </a:p>
      </dgm:t>
    </dgm:pt>
    <dgm:pt modelId="{B146D8C2-FBAA-4193-8F92-79DA9A7FA454}" type="sibTrans" cxnId="{26DF6F8E-DF6E-4BB7-BCB4-9F30B5CB27EA}">
      <dgm:prSet/>
      <dgm:spPr/>
      <dgm:t>
        <a:bodyPr/>
        <a:lstStyle/>
        <a:p>
          <a:endParaRPr lang="en-NZ"/>
        </a:p>
      </dgm:t>
    </dgm:pt>
    <dgm:pt modelId="{752981B7-7EFC-4386-924C-2F8B0C343822}" type="pres">
      <dgm:prSet presAssocID="{2DAB2B8D-A5E4-49D6-8181-88236E48D935}" presName="Name0" presStyleCnt="0">
        <dgm:presLayoutVars>
          <dgm:chMax val="1"/>
          <dgm:dir/>
          <dgm:animLvl val="ctr"/>
          <dgm:resizeHandles val="exact"/>
        </dgm:presLayoutVars>
      </dgm:prSet>
      <dgm:spPr/>
      <dgm:t>
        <a:bodyPr/>
        <a:lstStyle/>
        <a:p>
          <a:endParaRPr lang="en-NZ"/>
        </a:p>
      </dgm:t>
    </dgm:pt>
    <dgm:pt modelId="{2183B14B-A2A2-4194-B1BD-18AA1B9326B8}" type="pres">
      <dgm:prSet presAssocID="{7564B980-353E-445C-A570-4DD3A69AE5ED}" presName="centerShape" presStyleLbl="node0" presStyleIdx="0" presStyleCnt="1"/>
      <dgm:spPr/>
      <dgm:t>
        <a:bodyPr/>
        <a:lstStyle/>
        <a:p>
          <a:endParaRPr lang="en-NZ"/>
        </a:p>
      </dgm:t>
    </dgm:pt>
    <dgm:pt modelId="{06CC9C67-4E94-4FED-9915-2A76A15A2674}" type="pres">
      <dgm:prSet presAssocID="{56047080-0944-4972-A73C-894246BCA026}" presName="node" presStyleLbl="node1" presStyleIdx="0" presStyleCnt="7">
        <dgm:presLayoutVars>
          <dgm:bulletEnabled val="1"/>
        </dgm:presLayoutVars>
      </dgm:prSet>
      <dgm:spPr/>
      <dgm:t>
        <a:bodyPr/>
        <a:lstStyle/>
        <a:p>
          <a:endParaRPr lang="en-NZ"/>
        </a:p>
      </dgm:t>
    </dgm:pt>
    <dgm:pt modelId="{89C7784C-3AEA-4471-A568-2B25211381AB}" type="pres">
      <dgm:prSet presAssocID="{56047080-0944-4972-A73C-894246BCA026}" presName="dummy" presStyleCnt="0"/>
      <dgm:spPr/>
    </dgm:pt>
    <dgm:pt modelId="{18373248-D235-405B-B4A4-5FEEA11CBD84}" type="pres">
      <dgm:prSet presAssocID="{5C2E007A-6526-4E74-B453-4B172EBC630A}" presName="sibTrans" presStyleLbl="sibTrans2D1" presStyleIdx="0" presStyleCnt="7"/>
      <dgm:spPr/>
      <dgm:t>
        <a:bodyPr/>
        <a:lstStyle/>
        <a:p>
          <a:endParaRPr lang="en-NZ"/>
        </a:p>
      </dgm:t>
    </dgm:pt>
    <dgm:pt modelId="{5BD5AF49-35F8-4EA6-ADB8-D917572C36D2}" type="pres">
      <dgm:prSet presAssocID="{931C931A-EC94-4B6C-AB39-A715C036314C}" presName="node" presStyleLbl="node1" presStyleIdx="1" presStyleCnt="7">
        <dgm:presLayoutVars>
          <dgm:bulletEnabled val="1"/>
        </dgm:presLayoutVars>
      </dgm:prSet>
      <dgm:spPr/>
      <dgm:t>
        <a:bodyPr/>
        <a:lstStyle/>
        <a:p>
          <a:endParaRPr lang="en-NZ"/>
        </a:p>
      </dgm:t>
    </dgm:pt>
    <dgm:pt modelId="{95379469-6C3C-4909-92F9-6B70684E5B2B}" type="pres">
      <dgm:prSet presAssocID="{931C931A-EC94-4B6C-AB39-A715C036314C}" presName="dummy" presStyleCnt="0"/>
      <dgm:spPr/>
    </dgm:pt>
    <dgm:pt modelId="{3CD7B633-9817-448F-AB2D-EB0FAEDF6D06}" type="pres">
      <dgm:prSet presAssocID="{B146D8C2-FBAA-4193-8F92-79DA9A7FA454}" presName="sibTrans" presStyleLbl="sibTrans2D1" presStyleIdx="1" presStyleCnt="7"/>
      <dgm:spPr/>
      <dgm:t>
        <a:bodyPr/>
        <a:lstStyle/>
        <a:p>
          <a:endParaRPr lang="en-NZ"/>
        </a:p>
      </dgm:t>
    </dgm:pt>
    <dgm:pt modelId="{7E569388-7458-4ACA-AFF4-C822C35267A9}" type="pres">
      <dgm:prSet presAssocID="{30A1299F-1A82-41B8-A016-07D62E6C7B44}" presName="node" presStyleLbl="node1" presStyleIdx="2" presStyleCnt="7">
        <dgm:presLayoutVars>
          <dgm:bulletEnabled val="1"/>
        </dgm:presLayoutVars>
      </dgm:prSet>
      <dgm:spPr/>
      <dgm:t>
        <a:bodyPr/>
        <a:lstStyle/>
        <a:p>
          <a:endParaRPr lang="en-NZ"/>
        </a:p>
      </dgm:t>
    </dgm:pt>
    <dgm:pt modelId="{1358C767-6BF9-4E03-B0B3-6EA3555DCD02}" type="pres">
      <dgm:prSet presAssocID="{30A1299F-1A82-41B8-A016-07D62E6C7B44}" presName="dummy" presStyleCnt="0"/>
      <dgm:spPr/>
    </dgm:pt>
    <dgm:pt modelId="{FD8080F9-6AC1-49AF-A52C-0ADDD25393AC}" type="pres">
      <dgm:prSet presAssocID="{EC9A1D6F-022C-4467-B94A-C2E1FE1ADABB}" presName="sibTrans" presStyleLbl="sibTrans2D1" presStyleIdx="2" presStyleCnt="7"/>
      <dgm:spPr/>
      <dgm:t>
        <a:bodyPr/>
        <a:lstStyle/>
        <a:p>
          <a:endParaRPr lang="en-NZ"/>
        </a:p>
      </dgm:t>
    </dgm:pt>
    <dgm:pt modelId="{CF83D50D-DB41-45E4-936E-E5FB4B150BA8}" type="pres">
      <dgm:prSet presAssocID="{DD7E83B8-5CEB-44C9-8755-BC671A6B48AA}" presName="node" presStyleLbl="node1" presStyleIdx="3" presStyleCnt="7">
        <dgm:presLayoutVars>
          <dgm:bulletEnabled val="1"/>
        </dgm:presLayoutVars>
      </dgm:prSet>
      <dgm:spPr/>
      <dgm:t>
        <a:bodyPr/>
        <a:lstStyle/>
        <a:p>
          <a:endParaRPr lang="en-NZ"/>
        </a:p>
      </dgm:t>
    </dgm:pt>
    <dgm:pt modelId="{F6342CD0-984D-4A70-8B13-9E047EC98B9F}" type="pres">
      <dgm:prSet presAssocID="{DD7E83B8-5CEB-44C9-8755-BC671A6B48AA}" presName="dummy" presStyleCnt="0"/>
      <dgm:spPr/>
    </dgm:pt>
    <dgm:pt modelId="{2845328F-8FC3-48AC-B71A-B9976C262234}" type="pres">
      <dgm:prSet presAssocID="{3D4CE238-9FCB-45E3-9A07-3FC5CEE0D08C}" presName="sibTrans" presStyleLbl="sibTrans2D1" presStyleIdx="3" presStyleCnt="7"/>
      <dgm:spPr/>
      <dgm:t>
        <a:bodyPr/>
        <a:lstStyle/>
        <a:p>
          <a:endParaRPr lang="en-NZ"/>
        </a:p>
      </dgm:t>
    </dgm:pt>
    <dgm:pt modelId="{EBB2C0E8-DEE0-4806-8495-BB91AFD75731}" type="pres">
      <dgm:prSet presAssocID="{77706C77-344A-4E1E-B414-935E75090709}" presName="node" presStyleLbl="node1" presStyleIdx="4" presStyleCnt="7">
        <dgm:presLayoutVars>
          <dgm:bulletEnabled val="1"/>
        </dgm:presLayoutVars>
      </dgm:prSet>
      <dgm:spPr/>
      <dgm:t>
        <a:bodyPr/>
        <a:lstStyle/>
        <a:p>
          <a:endParaRPr lang="en-NZ"/>
        </a:p>
      </dgm:t>
    </dgm:pt>
    <dgm:pt modelId="{878043A8-4027-4DB5-BD90-B9BDEB679242}" type="pres">
      <dgm:prSet presAssocID="{77706C77-344A-4E1E-B414-935E75090709}" presName="dummy" presStyleCnt="0"/>
      <dgm:spPr/>
    </dgm:pt>
    <dgm:pt modelId="{29D36A2E-9E27-49B7-ADF9-4EAF6FC1A6F4}" type="pres">
      <dgm:prSet presAssocID="{CCBD7847-A0F6-4F1F-A1F9-156A3B5D386C}" presName="sibTrans" presStyleLbl="sibTrans2D1" presStyleIdx="4" presStyleCnt="7"/>
      <dgm:spPr/>
      <dgm:t>
        <a:bodyPr/>
        <a:lstStyle/>
        <a:p>
          <a:endParaRPr lang="en-NZ"/>
        </a:p>
      </dgm:t>
    </dgm:pt>
    <dgm:pt modelId="{D682BAD6-709E-4D29-A988-7C5FA3544566}" type="pres">
      <dgm:prSet presAssocID="{DECE2387-475F-4292-BFF4-BA1CB30EC099}" presName="node" presStyleLbl="node1" presStyleIdx="5" presStyleCnt="7">
        <dgm:presLayoutVars>
          <dgm:bulletEnabled val="1"/>
        </dgm:presLayoutVars>
      </dgm:prSet>
      <dgm:spPr/>
      <dgm:t>
        <a:bodyPr/>
        <a:lstStyle/>
        <a:p>
          <a:endParaRPr lang="en-NZ"/>
        </a:p>
      </dgm:t>
    </dgm:pt>
    <dgm:pt modelId="{2EE37385-8FD0-4301-B453-7D38C6613423}" type="pres">
      <dgm:prSet presAssocID="{DECE2387-475F-4292-BFF4-BA1CB30EC099}" presName="dummy" presStyleCnt="0"/>
      <dgm:spPr/>
    </dgm:pt>
    <dgm:pt modelId="{B0B80495-0125-468E-9407-AEC3CF22980B}" type="pres">
      <dgm:prSet presAssocID="{B7CB6C5F-4B6F-43E3-A0C7-D5BB7C6B925A}" presName="sibTrans" presStyleLbl="sibTrans2D1" presStyleIdx="5" presStyleCnt="7"/>
      <dgm:spPr/>
      <dgm:t>
        <a:bodyPr/>
        <a:lstStyle/>
        <a:p>
          <a:endParaRPr lang="en-NZ"/>
        </a:p>
      </dgm:t>
    </dgm:pt>
    <dgm:pt modelId="{4FE2C199-1A8E-4C71-9E23-81C9A4998FF2}" type="pres">
      <dgm:prSet presAssocID="{CD7172E9-BD13-4293-8038-4D304C97B80B}" presName="node" presStyleLbl="node1" presStyleIdx="6" presStyleCnt="7">
        <dgm:presLayoutVars>
          <dgm:bulletEnabled val="1"/>
        </dgm:presLayoutVars>
      </dgm:prSet>
      <dgm:spPr/>
      <dgm:t>
        <a:bodyPr/>
        <a:lstStyle/>
        <a:p>
          <a:endParaRPr lang="en-NZ"/>
        </a:p>
      </dgm:t>
    </dgm:pt>
    <dgm:pt modelId="{F6C5228D-85EF-424F-AEF9-A7A846898B91}" type="pres">
      <dgm:prSet presAssocID="{CD7172E9-BD13-4293-8038-4D304C97B80B}" presName="dummy" presStyleCnt="0"/>
      <dgm:spPr/>
    </dgm:pt>
    <dgm:pt modelId="{A427C803-E506-4CAF-A454-88079317CF68}" type="pres">
      <dgm:prSet presAssocID="{A0F3A81F-4DDF-428D-8F89-82987E4B5FF1}" presName="sibTrans" presStyleLbl="sibTrans2D1" presStyleIdx="6" presStyleCnt="7"/>
      <dgm:spPr/>
      <dgm:t>
        <a:bodyPr/>
        <a:lstStyle/>
        <a:p>
          <a:endParaRPr lang="en-NZ"/>
        </a:p>
      </dgm:t>
    </dgm:pt>
  </dgm:ptLst>
  <dgm:cxnLst>
    <dgm:cxn modelId="{66233360-6001-411E-A06A-29E354C59FB4}" srcId="{7564B980-353E-445C-A570-4DD3A69AE5ED}" destId="{DD7E83B8-5CEB-44C9-8755-BC671A6B48AA}" srcOrd="3" destOrd="0" parTransId="{E0907D2D-04DA-4557-8E2D-992A144634BB}" sibTransId="{3D4CE238-9FCB-45E3-9A07-3FC5CEE0D08C}"/>
    <dgm:cxn modelId="{F6658DF3-787B-42EA-A8F6-681265773613}" srcId="{7564B980-353E-445C-A570-4DD3A69AE5ED}" destId="{30A1299F-1A82-41B8-A016-07D62E6C7B44}" srcOrd="2" destOrd="0" parTransId="{BD8D6CDE-79E6-4D21-8857-E3DB7147CD5F}" sibTransId="{EC9A1D6F-022C-4467-B94A-C2E1FE1ADABB}"/>
    <dgm:cxn modelId="{CAAC1315-6767-4D88-B186-AE5E048492F5}" type="presOf" srcId="{EC9A1D6F-022C-4467-B94A-C2E1FE1ADABB}" destId="{FD8080F9-6AC1-49AF-A52C-0ADDD25393AC}" srcOrd="0" destOrd="0" presId="urn:microsoft.com/office/officeart/2005/8/layout/radial6"/>
    <dgm:cxn modelId="{1366F1A4-C36E-48F0-A018-4C5253E43986}" type="presOf" srcId="{77706C77-344A-4E1E-B414-935E75090709}" destId="{EBB2C0E8-DEE0-4806-8495-BB91AFD75731}" srcOrd="0" destOrd="0" presId="urn:microsoft.com/office/officeart/2005/8/layout/radial6"/>
    <dgm:cxn modelId="{CA4E5C4F-E671-4315-B143-F4A634AF927A}" srcId="{2DAB2B8D-A5E4-49D6-8181-88236E48D935}" destId="{7564B980-353E-445C-A570-4DD3A69AE5ED}" srcOrd="0" destOrd="0" parTransId="{CBF03FB1-28AE-4BE0-BE6D-EEF4F51ED9E6}" sibTransId="{FC05ADA2-70BF-490D-B78A-3D43AE972A72}"/>
    <dgm:cxn modelId="{B3ABFFEA-6232-4182-AFAD-EDE70AEB96B0}" type="presOf" srcId="{30A1299F-1A82-41B8-A016-07D62E6C7B44}" destId="{7E569388-7458-4ACA-AFF4-C822C35267A9}" srcOrd="0" destOrd="0" presId="urn:microsoft.com/office/officeart/2005/8/layout/radial6"/>
    <dgm:cxn modelId="{5A017DD5-D2F2-40D0-8029-F0D14D5F4CC3}" srcId="{7564B980-353E-445C-A570-4DD3A69AE5ED}" destId="{CD7172E9-BD13-4293-8038-4D304C97B80B}" srcOrd="6" destOrd="0" parTransId="{3A7131B0-8171-43CE-B23C-8987C98B5E26}" sibTransId="{A0F3A81F-4DDF-428D-8F89-82987E4B5FF1}"/>
    <dgm:cxn modelId="{4CA3C96F-25C7-4C65-9D63-10CF0E085CF9}" type="presOf" srcId="{CD7172E9-BD13-4293-8038-4D304C97B80B}" destId="{4FE2C199-1A8E-4C71-9E23-81C9A4998FF2}" srcOrd="0" destOrd="0" presId="urn:microsoft.com/office/officeart/2005/8/layout/radial6"/>
    <dgm:cxn modelId="{9929D3C5-8727-433A-824F-103B119BF864}" type="presOf" srcId="{DECE2387-475F-4292-BFF4-BA1CB30EC099}" destId="{D682BAD6-709E-4D29-A988-7C5FA3544566}" srcOrd="0" destOrd="0" presId="urn:microsoft.com/office/officeart/2005/8/layout/radial6"/>
    <dgm:cxn modelId="{49C4F78A-2AF9-4C71-AD1F-2714C31FB29A}" type="presOf" srcId="{3D4CE238-9FCB-45E3-9A07-3FC5CEE0D08C}" destId="{2845328F-8FC3-48AC-B71A-B9976C262234}" srcOrd="0" destOrd="0" presId="urn:microsoft.com/office/officeart/2005/8/layout/radial6"/>
    <dgm:cxn modelId="{34D24707-78A6-48A5-81F8-A5E0F7F85168}" type="presOf" srcId="{B146D8C2-FBAA-4193-8F92-79DA9A7FA454}" destId="{3CD7B633-9817-448F-AB2D-EB0FAEDF6D06}" srcOrd="0" destOrd="0" presId="urn:microsoft.com/office/officeart/2005/8/layout/radial6"/>
    <dgm:cxn modelId="{72057794-6834-4A31-90C5-C9547C9441B8}" srcId="{7564B980-353E-445C-A570-4DD3A69AE5ED}" destId="{DECE2387-475F-4292-BFF4-BA1CB30EC099}" srcOrd="5" destOrd="0" parTransId="{3B316103-0D7C-45C8-874C-9CD54065060E}" sibTransId="{B7CB6C5F-4B6F-43E3-A0C7-D5BB7C6B925A}"/>
    <dgm:cxn modelId="{687337AE-F850-4B93-9C2A-98F43B8621E0}" type="presOf" srcId="{DD7E83B8-5CEB-44C9-8755-BC671A6B48AA}" destId="{CF83D50D-DB41-45E4-936E-E5FB4B150BA8}" srcOrd="0" destOrd="0" presId="urn:microsoft.com/office/officeart/2005/8/layout/radial6"/>
    <dgm:cxn modelId="{2DDD29BD-A164-42EE-A1DD-84D04D84FCF9}" type="presOf" srcId="{7564B980-353E-445C-A570-4DD3A69AE5ED}" destId="{2183B14B-A2A2-4194-B1BD-18AA1B9326B8}" srcOrd="0" destOrd="0" presId="urn:microsoft.com/office/officeart/2005/8/layout/radial6"/>
    <dgm:cxn modelId="{A0852B10-6AEF-45AD-B682-7F4E53DC9883}" type="presOf" srcId="{CCBD7847-A0F6-4F1F-A1F9-156A3B5D386C}" destId="{29D36A2E-9E27-49B7-ADF9-4EAF6FC1A6F4}" srcOrd="0" destOrd="0" presId="urn:microsoft.com/office/officeart/2005/8/layout/radial6"/>
    <dgm:cxn modelId="{26DF6F8E-DF6E-4BB7-BCB4-9F30B5CB27EA}" srcId="{7564B980-353E-445C-A570-4DD3A69AE5ED}" destId="{931C931A-EC94-4B6C-AB39-A715C036314C}" srcOrd="1" destOrd="0" parTransId="{5C71507C-6C10-453B-A2B9-660DBC06FEB9}" sibTransId="{B146D8C2-FBAA-4193-8F92-79DA9A7FA454}"/>
    <dgm:cxn modelId="{4F0D791B-8105-4EB3-8FE0-CD85327E760D}" type="presOf" srcId="{B7CB6C5F-4B6F-43E3-A0C7-D5BB7C6B925A}" destId="{B0B80495-0125-468E-9407-AEC3CF22980B}" srcOrd="0" destOrd="0" presId="urn:microsoft.com/office/officeart/2005/8/layout/radial6"/>
    <dgm:cxn modelId="{1A675F76-0460-48A2-A0EE-5041A009B910}" type="presOf" srcId="{A0F3A81F-4DDF-428D-8F89-82987E4B5FF1}" destId="{A427C803-E506-4CAF-A454-88079317CF68}" srcOrd="0" destOrd="0" presId="urn:microsoft.com/office/officeart/2005/8/layout/radial6"/>
    <dgm:cxn modelId="{A386481B-A599-40F5-9CB1-A645C3E375AD}" srcId="{7564B980-353E-445C-A570-4DD3A69AE5ED}" destId="{77706C77-344A-4E1E-B414-935E75090709}" srcOrd="4" destOrd="0" parTransId="{6B7FA1AF-2FE3-4B9D-9430-39965B94AB5B}" sibTransId="{CCBD7847-A0F6-4F1F-A1F9-156A3B5D386C}"/>
    <dgm:cxn modelId="{E47A5118-116E-4DDB-9831-327F7FE4F076}" type="presOf" srcId="{931C931A-EC94-4B6C-AB39-A715C036314C}" destId="{5BD5AF49-35F8-4EA6-ADB8-D917572C36D2}" srcOrd="0" destOrd="0" presId="urn:microsoft.com/office/officeart/2005/8/layout/radial6"/>
    <dgm:cxn modelId="{C0E9939A-B90D-4320-82D6-D221ADE28DB3}" type="presOf" srcId="{56047080-0944-4972-A73C-894246BCA026}" destId="{06CC9C67-4E94-4FED-9915-2A76A15A2674}" srcOrd="0" destOrd="0" presId="urn:microsoft.com/office/officeart/2005/8/layout/radial6"/>
    <dgm:cxn modelId="{07C37FD7-26CA-4F24-B534-2C99CFC6AFFB}" srcId="{7564B980-353E-445C-A570-4DD3A69AE5ED}" destId="{56047080-0944-4972-A73C-894246BCA026}" srcOrd="0" destOrd="0" parTransId="{24B5EB3B-78AB-48A9-95D5-B87A1CE3C4D1}" sibTransId="{5C2E007A-6526-4E74-B453-4B172EBC630A}"/>
    <dgm:cxn modelId="{A0DE8E83-982F-43E7-BD17-1D65A7884159}" type="presOf" srcId="{5C2E007A-6526-4E74-B453-4B172EBC630A}" destId="{18373248-D235-405B-B4A4-5FEEA11CBD84}" srcOrd="0" destOrd="0" presId="urn:microsoft.com/office/officeart/2005/8/layout/radial6"/>
    <dgm:cxn modelId="{CE636017-D6FC-49A1-93A0-645649B866F2}" type="presOf" srcId="{2DAB2B8D-A5E4-49D6-8181-88236E48D935}" destId="{752981B7-7EFC-4386-924C-2F8B0C343822}" srcOrd="0" destOrd="0" presId="urn:microsoft.com/office/officeart/2005/8/layout/radial6"/>
    <dgm:cxn modelId="{570818AF-6164-4F6D-86C0-1DF577D0C779}" type="presParOf" srcId="{752981B7-7EFC-4386-924C-2F8B0C343822}" destId="{2183B14B-A2A2-4194-B1BD-18AA1B9326B8}" srcOrd="0" destOrd="0" presId="urn:microsoft.com/office/officeart/2005/8/layout/radial6"/>
    <dgm:cxn modelId="{8B141225-E034-4B9F-8CAF-D927EFA8B652}" type="presParOf" srcId="{752981B7-7EFC-4386-924C-2F8B0C343822}" destId="{06CC9C67-4E94-4FED-9915-2A76A15A2674}" srcOrd="1" destOrd="0" presId="urn:microsoft.com/office/officeart/2005/8/layout/radial6"/>
    <dgm:cxn modelId="{31E5A303-0DF0-4242-92B1-3B04D9EA2F1B}" type="presParOf" srcId="{752981B7-7EFC-4386-924C-2F8B0C343822}" destId="{89C7784C-3AEA-4471-A568-2B25211381AB}" srcOrd="2" destOrd="0" presId="urn:microsoft.com/office/officeart/2005/8/layout/radial6"/>
    <dgm:cxn modelId="{4DA60C8A-2568-4529-92F8-43547735A6A9}" type="presParOf" srcId="{752981B7-7EFC-4386-924C-2F8B0C343822}" destId="{18373248-D235-405B-B4A4-5FEEA11CBD84}" srcOrd="3" destOrd="0" presId="urn:microsoft.com/office/officeart/2005/8/layout/radial6"/>
    <dgm:cxn modelId="{D897861E-9BFC-4CD0-9810-0B2E22EA364D}" type="presParOf" srcId="{752981B7-7EFC-4386-924C-2F8B0C343822}" destId="{5BD5AF49-35F8-4EA6-ADB8-D917572C36D2}" srcOrd="4" destOrd="0" presId="urn:microsoft.com/office/officeart/2005/8/layout/radial6"/>
    <dgm:cxn modelId="{BF8D55C5-5F91-43BB-B1CA-0F576CEF2201}" type="presParOf" srcId="{752981B7-7EFC-4386-924C-2F8B0C343822}" destId="{95379469-6C3C-4909-92F9-6B70684E5B2B}" srcOrd="5" destOrd="0" presId="urn:microsoft.com/office/officeart/2005/8/layout/radial6"/>
    <dgm:cxn modelId="{CA224E2D-C9CC-448D-BCBC-AB0596C94A99}" type="presParOf" srcId="{752981B7-7EFC-4386-924C-2F8B0C343822}" destId="{3CD7B633-9817-448F-AB2D-EB0FAEDF6D06}" srcOrd="6" destOrd="0" presId="urn:microsoft.com/office/officeart/2005/8/layout/radial6"/>
    <dgm:cxn modelId="{9C4F6112-5469-4E4B-ABE7-4ABC91D2B9E3}" type="presParOf" srcId="{752981B7-7EFC-4386-924C-2F8B0C343822}" destId="{7E569388-7458-4ACA-AFF4-C822C35267A9}" srcOrd="7" destOrd="0" presId="urn:microsoft.com/office/officeart/2005/8/layout/radial6"/>
    <dgm:cxn modelId="{F346732C-FD3C-44B5-A444-BFF55EAFA6C1}" type="presParOf" srcId="{752981B7-7EFC-4386-924C-2F8B0C343822}" destId="{1358C767-6BF9-4E03-B0B3-6EA3555DCD02}" srcOrd="8" destOrd="0" presId="urn:microsoft.com/office/officeart/2005/8/layout/radial6"/>
    <dgm:cxn modelId="{67A470D9-018C-44EE-A94A-EB5FF6D85D17}" type="presParOf" srcId="{752981B7-7EFC-4386-924C-2F8B0C343822}" destId="{FD8080F9-6AC1-49AF-A52C-0ADDD25393AC}" srcOrd="9" destOrd="0" presId="urn:microsoft.com/office/officeart/2005/8/layout/radial6"/>
    <dgm:cxn modelId="{1A805B26-B3E2-4C52-B2D2-3F92B7AA7100}" type="presParOf" srcId="{752981B7-7EFC-4386-924C-2F8B0C343822}" destId="{CF83D50D-DB41-45E4-936E-E5FB4B150BA8}" srcOrd="10" destOrd="0" presId="urn:microsoft.com/office/officeart/2005/8/layout/radial6"/>
    <dgm:cxn modelId="{B6BC1896-D7CC-4674-BBCC-428A4CBDC590}" type="presParOf" srcId="{752981B7-7EFC-4386-924C-2F8B0C343822}" destId="{F6342CD0-984D-4A70-8B13-9E047EC98B9F}" srcOrd="11" destOrd="0" presId="urn:microsoft.com/office/officeart/2005/8/layout/radial6"/>
    <dgm:cxn modelId="{AB9F298E-04A8-43E6-98AC-16096D0CC16E}" type="presParOf" srcId="{752981B7-7EFC-4386-924C-2F8B0C343822}" destId="{2845328F-8FC3-48AC-B71A-B9976C262234}" srcOrd="12" destOrd="0" presId="urn:microsoft.com/office/officeart/2005/8/layout/radial6"/>
    <dgm:cxn modelId="{45F6FCEA-2AFC-4AF5-B6C7-F5EF52BA05BF}" type="presParOf" srcId="{752981B7-7EFC-4386-924C-2F8B0C343822}" destId="{EBB2C0E8-DEE0-4806-8495-BB91AFD75731}" srcOrd="13" destOrd="0" presId="urn:microsoft.com/office/officeart/2005/8/layout/radial6"/>
    <dgm:cxn modelId="{E215A586-CE89-4F2C-9CA2-14E08DE65959}" type="presParOf" srcId="{752981B7-7EFC-4386-924C-2F8B0C343822}" destId="{878043A8-4027-4DB5-BD90-B9BDEB679242}" srcOrd="14" destOrd="0" presId="urn:microsoft.com/office/officeart/2005/8/layout/radial6"/>
    <dgm:cxn modelId="{450EC648-97AE-48C6-BE3C-5462F9A57776}" type="presParOf" srcId="{752981B7-7EFC-4386-924C-2F8B0C343822}" destId="{29D36A2E-9E27-49B7-ADF9-4EAF6FC1A6F4}" srcOrd="15" destOrd="0" presId="urn:microsoft.com/office/officeart/2005/8/layout/radial6"/>
    <dgm:cxn modelId="{ECBDE8A7-434B-4A22-82F0-A56F8C23A8B5}" type="presParOf" srcId="{752981B7-7EFC-4386-924C-2F8B0C343822}" destId="{D682BAD6-709E-4D29-A988-7C5FA3544566}" srcOrd="16" destOrd="0" presId="urn:microsoft.com/office/officeart/2005/8/layout/radial6"/>
    <dgm:cxn modelId="{941C7A18-51A9-496E-BC2F-2499CB7A9C2C}" type="presParOf" srcId="{752981B7-7EFC-4386-924C-2F8B0C343822}" destId="{2EE37385-8FD0-4301-B453-7D38C6613423}" srcOrd="17" destOrd="0" presId="urn:microsoft.com/office/officeart/2005/8/layout/radial6"/>
    <dgm:cxn modelId="{1075CF82-CC93-4732-B7A9-15E9DB5110B9}" type="presParOf" srcId="{752981B7-7EFC-4386-924C-2F8B0C343822}" destId="{B0B80495-0125-468E-9407-AEC3CF22980B}" srcOrd="18" destOrd="0" presId="urn:microsoft.com/office/officeart/2005/8/layout/radial6"/>
    <dgm:cxn modelId="{660B3763-6AA8-46A8-96BB-BFF133023C93}" type="presParOf" srcId="{752981B7-7EFC-4386-924C-2F8B0C343822}" destId="{4FE2C199-1A8E-4C71-9E23-81C9A4998FF2}" srcOrd="19" destOrd="0" presId="urn:microsoft.com/office/officeart/2005/8/layout/radial6"/>
    <dgm:cxn modelId="{88257F9A-4084-4A1A-BF02-9A19755A0ABA}" type="presParOf" srcId="{752981B7-7EFC-4386-924C-2F8B0C343822}" destId="{F6C5228D-85EF-424F-AEF9-A7A846898B91}" srcOrd="20" destOrd="0" presId="urn:microsoft.com/office/officeart/2005/8/layout/radial6"/>
    <dgm:cxn modelId="{CCA5F0D8-B38C-4426-83C6-3088F9508AE4}" type="presParOf" srcId="{752981B7-7EFC-4386-924C-2F8B0C343822}" destId="{A427C803-E506-4CAF-A454-88079317CF68}" srcOrd="21" destOrd="0" presId="urn:microsoft.com/office/officeart/2005/8/layout/radial6"/>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8C1339-4F81-4621-94A0-0C25A06AF56B}">
      <dsp:nvSpPr>
        <dsp:cNvPr id="0" name=""/>
        <dsp:cNvSpPr/>
      </dsp:nvSpPr>
      <dsp:spPr>
        <a:xfrm>
          <a:off x="2337665" y="1308661"/>
          <a:ext cx="705023" cy="705023"/>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NZ" sz="800" kern="1200"/>
            <a:t>affordable housing</a:t>
          </a:r>
        </a:p>
      </dsp:txBody>
      <dsp:txXfrm>
        <a:off x="2440913" y="1411909"/>
        <a:ext cx="498527" cy="498527"/>
      </dsp:txXfrm>
    </dsp:sp>
    <dsp:sp modelId="{5DC1A708-A765-459C-A75C-5D0095064A6F}">
      <dsp:nvSpPr>
        <dsp:cNvPr id="0" name=""/>
        <dsp:cNvSpPr/>
      </dsp:nvSpPr>
      <dsp:spPr>
        <a:xfrm rot="16200000">
          <a:off x="2577442" y="991574"/>
          <a:ext cx="225470" cy="221519"/>
        </a:xfrm>
        <a:prstGeom prst="rightArrow">
          <a:avLst>
            <a:gd name="adj1" fmla="val 60000"/>
            <a:gd name="adj2" fmla="val 50000"/>
          </a:avLst>
        </a:prstGeom>
        <a:solidFill>
          <a:schemeClr val="accent3">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NZ" sz="600" kern="1200"/>
        </a:p>
      </dsp:txBody>
      <dsp:txXfrm>
        <a:off x="2610670" y="1069106"/>
        <a:ext cx="159014" cy="132911"/>
      </dsp:txXfrm>
    </dsp:sp>
    <dsp:sp modelId="{CC57518B-5928-437E-96F3-58DD4527C013}">
      <dsp:nvSpPr>
        <dsp:cNvPr id="0" name=""/>
        <dsp:cNvSpPr/>
      </dsp:nvSpPr>
      <dsp:spPr>
        <a:xfrm>
          <a:off x="2249537" y="1964"/>
          <a:ext cx="881279" cy="881279"/>
        </a:xfrm>
        <a:prstGeom prst="ellipse">
          <a:avLst/>
        </a:prstGeom>
        <a:solidFill>
          <a:schemeClr val="accent3">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n-NZ" sz="700" kern="1200"/>
            <a:t>Maori land</a:t>
          </a:r>
        </a:p>
      </dsp:txBody>
      <dsp:txXfrm>
        <a:off x="2378597" y="131024"/>
        <a:ext cx="623159" cy="623159"/>
      </dsp:txXfrm>
    </dsp:sp>
    <dsp:sp modelId="{4CC52FB9-5185-4ACD-AF7B-2846352DD353}">
      <dsp:nvSpPr>
        <dsp:cNvPr id="0" name=""/>
        <dsp:cNvSpPr/>
      </dsp:nvSpPr>
      <dsp:spPr>
        <a:xfrm rot="19285714">
          <a:off x="3014360" y="1201982"/>
          <a:ext cx="225470" cy="221519"/>
        </a:xfrm>
        <a:prstGeom prst="rightArrow">
          <a:avLst>
            <a:gd name="adj1" fmla="val 60000"/>
            <a:gd name="adj2" fmla="val 50000"/>
          </a:avLst>
        </a:prstGeom>
        <a:solidFill>
          <a:schemeClr val="accent3">
            <a:hueOff val="1875044"/>
            <a:satOff val="-2813"/>
            <a:lumOff val="-458"/>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NZ" sz="600" kern="1200"/>
        </a:p>
      </dsp:txBody>
      <dsp:txXfrm>
        <a:off x="3021609" y="1267003"/>
        <a:ext cx="159014" cy="132911"/>
      </dsp:txXfrm>
    </dsp:sp>
    <dsp:sp modelId="{B15FA43D-43A8-4CBA-8E39-B883D16E558D}">
      <dsp:nvSpPr>
        <dsp:cNvPr id="0" name=""/>
        <dsp:cNvSpPr/>
      </dsp:nvSpPr>
      <dsp:spPr>
        <a:xfrm>
          <a:off x="3202252" y="460768"/>
          <a:ext cx="881279" cy="881279"/>
        </a:xfrm>
        <a:prstGeom prst="ellipse">
          <a:avLst/>
        </a:prstGeom>
        <a:solidFill>
          <a:schemeClr val="accent3">
            <a:hueOff val="1875044"/>
            <a:satOff val="-2813"/>
            <a:lumOff val="-458"/>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n-NZ" sz="700" kern="1200"/>
            <a:t>papakianga toolkit</a:t>
          </a:r>
        </a:p>
      </dsp:txBody>
      <dsp:txXfrm>
        <a:off x="3331312" y="589828"/>
        <a:ext cx="623159" cy="623159"/>
      </dsp:txXfrm>
    </dsp:sp>
    <dsp:sp modelId="{D68A883C-5547-4DA6-8C52-B93FBFEF9409}">
      <dsp:nvSpPr>
        <dsp:cNvPr id="0" name=""/>
        <dsp:cNvSpPr/>
      </dsp:nvSpPr>
      <dsp:spPr>
        <a:xfrm rot="771429">
          <a:off x="3122269" y="1674766"/>
          <a:ext cx="225470" cy="221519"/>
        </a:xfrm>
        <a:prstGeom prst="rightArrow">
          <a:avLst>
            <a:gd name="adj1" fmla="val 60000"/>
            <a:gd name="adj2" fmla="val 50000"/>
          </a:avLst>
        </a:prstGeom>
        <a:solidFill>
          <a:schemeClr val="accent3">
            <a:hueOff val="3750088"/>
            <a:satOff val="-5627"/>
            <a:lumOff val="-915"/>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NZ" sz="600" kern="1200"/>
        </a:p>
      </dsp:txBody>
      <dsp:txXfrm>
        <a:off x="3123102" y="1711676"/>
        <a:ext cx="159014" cy="132911"/>
      </dsp:txXfrm>
    </dsp:sp>
    <dsp:sp modelId="{AEFF7F4B-6153-4BC0-B4D6-A719853DBAB3}">
      <dsp:nvSpPr>
        <dsp:cNvPr id="0" name=""/>
        <dsp:cNvSpPr/>
      </dsp:nvSpPr>
      <dsp:spPr>
        <a:xfrm>
          <a:off x="3437554" y="1491690"/>
          <a:ext cx="881279" cy="881279"/>
        </a:xfrm>
        <a:prstGeom prst="ellipse">
          <a:avLst/>
        </a:prstGeom>
        <a:solidFill>
          <a:schemeClr val="accent3">
            <a:hueOff val="3750088"/>
            <a:satOff val="-5627"/>
            <a:lumOff val="-915"/>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n-NZ" sz="700" kern="1200"/>
            <a:t>Maori timber</a:t>
          </a:r>
        </a:p>
      </dsp:txBody>
      <dsp:txXfrm>
        <a:off x="3566614" y="1620750"/>
        <a:ext cx="623159" cy="623159"/>
      </dsp:txXfrm>
    </dsp:sp>
    <dsp:sp modelId="{0CE354B0-5C65-4720-B8FD-9BAB576AD703}">
      <dsp:nvSpPr>
        <dsp:cNvPr id="0" name=""/>
        <dsp:cNvSpPr/>
      </dsp:nvSpPr>
      <dsp:spPr>
        <a:xfrm rot="3857143">
          <a:off x="2819913" y="2053910"/>
          <a:ext cx="225470" cy="221519"/>
        </a:xfrm>
        <a:prstGeom prst="rightArrow">
          <a:avLst>
            <a:gd name="adj1" fmla="val 60000"/>
            <a:gd name="adj2" fmla="val 50000"/>
          </a:avLst>
        </a:prstGeom>
        <a:solidFill>
          <a:schemeClr val="accent3">
            <a:hueOff val="5625132"/>
            <a:satOff val="-8440"/>
            <a:lumOff val="-1373"/>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NZ" sz="600" kern="1200"/>
        </a:p>
      </dsp:txBody>
      <dsp:txXfrm>
        <a:off x="2838724" y="2068277"/>
        <a:ext cx="159014" cy="132911"/>
      </dsp:txXfrm>
    </dsp:sp>
    <dsp:sp modelId="{3FDC9CA1-DA3D-4BC2-8AE0-F96D8AC44FBA}">
      <dsp:nvSpPr>
        <dsp:cNvPr id="0" name=""/>
        <dsp:cNvSpPr/>
      </dsp:nvSpPr>
      <dsp:spPr>
        <a:xfrm>
          <a:off x="2778254" y="2318425"/>
          <a:ext cx="881279" cy="881279"/>
        </a:xfrm>
        <a:prstGeom prst="ellipse">
          <a:avLst/>
        </a:prstGeom>
        <a:solidFill>
          <a:schemeClr val="accent3">
            <a:hueOff val="5625132"/>
            <a:satOff val="-8440"/>
            <a:lumOff val="-1373"/>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n-NZ" sz="700" kern="1200"/>
            <a:t>clever collaborative designs</a:t>
          </a:r>
        </a:p>
      </dsp:txBody>
      <dsp:txXfrm>
        <a:off x="2907314" y="2447485"/>
        <a:ext cx="623159" cy="623159"/>
      </dsp:txXfrm>
    </dsp:sp>
    <dsp:sp modelId="{7884BBE0-F8D1-4147-9E5A-98548BD5F370}">
      <dsp:nvSpPr>
        <dsp:cNvPr id="0" name=""/>
        <dsp:cNvSpPr/>
      </dsp:nvSpPr>
      <dsp:spPr>
        <a:xfrm rot="6942857">
          <a:off x="2334970" y="2053910"/>
          <a:ext cx="225470" cy="221519"/>
        </a:xfrm>
        <a:prstGeom prst="rightArrow">
          <a:avLst>
            <a:gd name="adj1" fmla="val 60000"/>
            <a:gd name="adj2" fmla="val 50000"/>
          </a:avLst>
        </a:prstGeom>
        <a:solidFill>
          <a:schemeClr val="accent3">
            <a:hueOff val="7500176"/>
            <a:satOff val="-11253"/>
            <a:lumOff val="-183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NZ" sz="600" kern="1200"/>
        </a:p>
      </dsp:txBody>
      <dsp:txXfrm rot="10800000">
        <a:off x="2382615" y="2068277"/>
        <a:ext cx="159014" cy="132911"/>
      </dsp:txXfrm>
    </dsp:sp>
    <dsp:sp modelId="{F7C1D749-0A6B-4ED8-87B1-6F2484A11097}">
      <dsp:nvSpPr>
        <dsp:cNvPr id="0" name=""/>
        <dsp:cNvSpPr/>
      </dsp:nvSpPr>
      <dsp:spPr>
        <a:xfrm>
          <a:off x="1720820" y="2318425"/>
          <a:ext cx="881279" cy="881279"/>
        </a:xfrm>
        <a:prstGeom prst="ellipse">
          <a:avLst/>
        </a:prstGeom>
        <a:solidFill>
          <a:schemeClr val="accent3">
            <a:hueOff val="7500176"/>
            <a:satOff val="-11253"/>
            <a:lumOff val="-183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n-NZ" sz="700" kern="1200"/>
            <a:t>local labour</a:t>
          </a:r>
        </a:p>
      </dsp:txBody>
      <dsp:txXfrm>
        <a:off x="1849880" y="2447485"/>
        <a:ext cx="623159" cy="623159"/>
      </dsp:txXfrm>
    </dsp:sp>
    <dsp:sp modelId="{F2FBA4E7-76B9-44DF-AF63-C797574652F6}">
      <dsp:nvSpPr>
        <dsp:cNvPr id="0" name=""/>
        <dsp:cNvSpPr/>
      </dsp:nvSpPr>
      <dsp:spPr>
        <a:xfrm rot="10028571">
          <a:off x="2032614" y="1674766"/>
          <a:ext cx="225470" cy="221519"/>
        </a:xfrm>
        <a:prstGeom prst="rightArrow">
          <a:avLst>
            <a:gd name="adj1" fmla="val 60000"/>
            <a:gd name="adj2" fmla="val 50000"/>
          </a:avLst>
        </a:prstGeom>
        <a:solidFill>
          <a:schemeClr val="accent3">
            <a:hueOff val="9375220"/>
            <a:satOff val="-14067"/>
            <a:lumOff val="-2288"/>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NZ" sz="600" kern="1200"/>
        </a:p>
      </dsp:txBody>
      <dsp:txXfrm rot="10800000">
        <a:off x="2098237" y="1711676"/>
        <a:ext cx="159014" cy="132911"/>
      </dsp:txXfrm>
    </dsp:sp>
    <dsp:sp modelId="{62B9C5C8-1371-4ECA-8111-96312BECA90E}">
      <dsp:nvSpPr>
        <dsp:cNvPr id="0" name=""/>
        <dsp:cNvSpPr/>
      </dsp:nvSpPr>
      <dsp:spPr>
        <a:xfrm>
          <a:off x="1061520" y="1491690"/>
          <a:ext cx="881279" cy="881279"/>
        </a:xfrm>
        <a:prstGeom prst="ellipse">
          <a:avLst/>
        </a:prstGeom>
        <a:solidFill>
          <a:schemeClr val="accent3">
            <a:hueOff val="9375220"/>
            <a:satOff val="-14067"/>
            <a:lumOff val="-2288"/>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n-NZ" sz="700" kern="1200"/>
            <a:t>experienced local supervision</a:t>
          </a:r>
        </a:p>
      </dsp:txBody>
      <dsp:txXfrm>
        <a:off x="1190580" y="1620750"/>
        <a:ext cx="623159" cy="623159"/>
      </dsp:txXfrm>
    </dsp:sp>
    <dsp:sp modelId="{6B1E3F21-114C-4640-88BF-D7AA4B5DD3F9}">
      <dsp:nvSpPr>
        <dsp:cNvPr id="0" name=""/>
        <dsp:cNvSpPr/>
      </dsp:nvSpPr>
      <dsp:spPr>
        <a:xfrm rot="13114286">
          <a:off x="2140523" y="1201982"/>
          <a:ext cx="225470" cy="221519"/>
        </a:xfrm>
        <a:prstGeom prst="rightArrow">
          <a:avLst>
            <a:gd name="adj1" fmla="val 60000"/>
            <a:gd name="adj2" fmla="val 50000"/>
          </a:avLst>
        </a:prstGeom>
        <a:solidFill>
          <a:schemeClr val="accent3">
            <a:hueOff val="11250264"/>
            <a:satOff val="-16880"/>
            <a:lumOff val="-2745"/>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NZ" sz="600" kern="1200"/>
        </a:p>
      </dsp:txBody>
      <dsp:txXfrm rot="10800000">
        <a:off x="2199730" y="1267003"/>
        <a:ext cx="159014" cy="132911"/>
      </dsp:txXfrm>
    </dsp:sp>
    <dsp:sp modelId="{F3EE73C6-CCC7-4ADE-BCA9-C9BEA441347F}">
      <dsp:nvSpPr>
        <dsp:cNvPr id="0" name=""/>
        <dsp:cNvSpPr/>
      </dsp:nvSpPr>
      <dsp:spPr>
        <a:xfrm>
          <a:off x="1296822" y="460768"/>
          <a:ext cx="881279" cy="881279"/>
        </a:xfrm>
        <a:prstGeom prst="ellipse">
          <a:avLst/>
        </a:prstGeom>
        <a:solidFill>
          <a:schemeClr val="accent3">
            <a:hueOff val="11250264"/>
            <a:satOff val="-16880"/>
            <a:lumOff val="-2745"/>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n-NZ" sz="700" kern="1200"/>
            <a:t>stream-lined planning processes and experienced case managers</a:t>
          </a:r>
        </a:p>
      </dsp:txBody>
      <dsp:txXfrm>
        <a:off x="1425882" y="589828"/>
        <a:ext cx="623159" cy="62315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427C803-E506-4CAF-A454-88079317CF68}">
      <dsp:nvSpPr>
        <dsp:cNvPr id="0" name=""/>
        <dsp:cNvSpPr/>
      </dsp:nvSpPr>
      <dsp:spPr>
        <a:xfrm>
          <a:off x="1414256" y="335143"/>
          <a:ext cx="2657886" cy="2657886"/>
        </a:xfrm>
        <a:prstGeom prst="blockArc">
          <a:avLst>
            <a:gd name="adj1" fmla="val 13114286"/>
            <a:gd name="adj2" fmla="val 16200000"/>
            <a:gd name="adj3" fmla="val 3896"/>
          </a:avLst>
        </a:prstGeom>
        <a:solidFill>
          <a:schemeClr val="accent3">
            <a:hueOff val="11250264"/>
            <a:satOff val="-16880"/>
            <a:lumOff val="-2745"/>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B0B80495-0125-468E-9407-AEC3CF22980B}">
      <dsp:nvSpPr>
        <dsp:cNvPr id="0" name=""/>
        <dsp:cNvSpPr/>
      </dsp:nvSpPr>
      <dsp:spPr>
        <a:xfrm>
          <a:off x="1414256" y="335143"/>
          <a:ext cx="2657886" cy="2657886"/>
        </a:xfrm>
        <a:prstGeom prst="blockArc">
          <a:avLst>
            <a:gd name="adj1" fmla="val 10028571"/>
            <a:gd name="adj2" fmla="val 13114286"/>
            <a:gd name="adj3" fmla="val 3896"/>
          </a:avLst>
        </a:prstGeom>
        <a:solidFill>
          <a:schemeClr val="accent3">
            <a:hueOff val="9375220"/>
            <a:satOff val="-14067"/>
            <a:lumOff val="-2288"/>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29D36A2E-9E27-49B7-ADF9-4EAF6FC1A6F4}">
      <dsp:nvSpPr>
        <dsp:cNvPr id="0" name=""/>
        <dsp:cNvSpPr/>
      </dsp:nvSpPr>
      <dsp:spPr>
        <a:xfrm>
          <a:off x="1414256" y="335143"/>
          <a:ext cx="2657886" cy="2657886"/>
        </a:xfrm>
        <a:prstGeom prst="blockArc">
          <a:avLst>
            <a:gd name="adj1" fmla="val 6942857"/>
            <a:gd name="adj2" fmla="val 10028571"/>
            <a:gd name="adj3" fmla="val 3896"/>
          </a:avLst>
        </a:prstGeom>
        <a:solidFill>
          <a:schemeClr val="accent3">
            <a:hueOff val="7500176"/>
            <a:satOff val="-11253"/>
            <a:lumOff val="-183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2845328F-8FC3-48AC-B71A-B9976C262234}">
      <dsp:nvSpPr>
        <dsp:cNvPr id="0" name=""/>
        <dsp:cNvSpPr/>
      </dsp:nvSpPr>
      <dsp:spPr>
        <a:xfrm>
          <a:off x="1414256" y="335143"/>
          <a:ext cx="2657886" cy="2657886"/>
        </a:xfrm>
        <a:prstGeom prst="blockArc">
          <a:avLst>
            <a:gd name="adj1" fmla="val 3857143"/>
            <a:gd name="adj2" fmla="val 6942857"/>
            <a:gd name="adj3" fmla="val 3896"/>
          </a:avLst>
        </a:prstGeom>
        <a:solidFill>
          <a:schemeClr val="accent3">
            <a:hueOff val="5625132"/>
            <a:satOff val="-8440"/>
            <a:lumOff val="-1373"/>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FD8080F9-6AC1-49AF-A52C-0ADDD25393AC}">
      <dsp:nvSpPr>
        <dsp:cNvPr id="0" name=""/>
        <dsp:cNvSpPr/>
      </dsp:nvSpPr>
      <dsp:spPr>
        <a:xfrm>
          <a:off x="1414256" y="335143"/>
          <a:ext cx="2657886" cy="2657886"/>
        </a:xfrm>
        <a:prstGeom prst="blockArc">
          <a:avLst>
            <a:gd name="adj1" fmla="val 771429"/>
            <a:gd name="adj2" fmla="val 3857143"/>
            <a:gd name="adj3" fmla="val 3896"/>
          </a:avLst>
        </a:prstGeom>
        <a:solidFill>
          <a:schemeClr val="accent3">
            <a:hueOff val="3750088"/>
            <a:satOff val="-5627"/>
            <a:lumOff val="-915"/>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3CD7B633-9817-448F-AB2D-EB0FAEDF6D06}">
      <dsp:nvSpPr>
        <dsp:cNvPr id="0" name=""/>
        <dsp:cNvSpPr/>
      </dsp:nvSpPr>
      <dsp:spPr>
        <a:xfrm>
          <a:off x="1414256" y="335143"/>
          <a:ext cx="2657886" cy="2657886"/>
        </a:xfrm>
        <a:prstGeom prst="blockArc">
          <a:avLst>
            <a:gd name="adj1" fmla="val 19285714"/>
            <a:gd name="adj2" fmla="val 771429"/>
            <a:gd name="adj3" fmla="val 3896"/>
          </a:avLst>
        </a:prstGeom>
        <a:solidFill>
          <a:schemeClr val="accent3">
            <a:hueOff val="1875044"/>
            <a:satOff val="-2813"/>
            <a:lumOff val="-458"/>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18373248-D235-405B-B4A4-5FEEA11CBD84}">
      <dsp:nvSpPr>
        <dsp:cNvPr id="0" name=""/>
        <dsp:cNvSpPr/>
      </dsp:nvSpPr>
      <dsp:spPr>
        <a:xfrm>
          <a:off x="1414256" y="335143"/>
          <a:ext cx="2657886" cy="2657886"/>
        </a:xfrm>
        <a:prstGeom prst="blockArc">
          <a:avLst>
            <a:gd name="adj1" fmla="val 16200000"/>
            <a:gd name="adj2" fmla="val 19285714"/>
            <a:gd name="adj3" fmla="val 3896"/>
          </a:avLst>
        </a:prstGeom>
        <a:solidFill>
          <a:schemeClr val="accent3">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sp>
    <dsp:sp modelId="{2183B14B-A2A2-4194-B1BD-18AA1B9326B8}">
      <dsp:nvSpPr>
        <dsp:cNvPr id="0" name=""/>
        <dsp:cNvSpPr/>
      </dsp:nvSpPr>
      <dsp:spPr>
        <a:xfrm>
          <a:off x="2229519" y="1150406"/>
          <a:ext cx="1027360" cy="1027360"/>
        </a:xfrm>
        <a:prstGeom prst="ellipse">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NZ" sz="1100" kern="1200"/>
            <a:t>Public Private Partnership</a:t>
          </a:r>
        </a:p>
      </dsp:txBody>
      <dsp:txXfrm>
        <a:off x="2379972" y="1300859"/>
        <a:ext cx="726454" cy="726454"/>
      </dsp:txXfrm>
    </dsp:sp>
    <dsp:sp modelId="{06CC9C67-4E94-4FED-9915-2A76A15A2674}">
      <dsp:nvSpPr>
        <dsp:cNvPr id="0" name=""/>
        <dsp:cNvSpPr/>
      </dsp:nvSpPr>
      <dsp:spPr>
        <a:xfrm>
          <a:off x="2383623" y="1456"/>
          <a:ext cx="719152" cy="719152"/>
        </a:xfrm>
        <a:prstGeom prst="ellipse">
          <a:avLst/>
        </a:prstGeom>
        <a:solidFill>
          <a:schemeClr val="accent3">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NZ" sz="800" kern="1200"/>
            <a:t>Councils</a:t>
          </a:r>
        </a:p>
      </dsp:txBody>
      <dsp:txXfrm>
        <a:off x="2488940" y="106773"/>
        <a:ext cx="508518" cy="508518"/>
      </dsp:txXfrm>
    </dsp:sp>
    <dsp:sp modelId="{5BD5AF49-35F8-4EA6-ADB8-D917572C36D2}">
      <dsp:nvSpPr>
        <dsp:cNvPr id="0" name=""/>
        <dsp:cNvSpPr/>
      </dsp:nvSpPr>
      <dsp:spPr>
        <a:xfrm>
          <a:off x="3402392" y="492069"/>
          <a:ext cx="719152" cy="719152"/>
        </a:xfrm>
        <a:prstGeom prst="ellipse">
          <a:avLst/>
        </a:prstGeom>
        <a:solidFill>
          <a:schemeClr val="accent3">
            <a:hueOff val="1875044"/>
            <a:satOff val="-2813"/>
            <a:lumOff val="-458"/>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NZ" sz="800" kern="1200"/>
            <a:t>Crown (land)</a:t>
          </a:r>
        </a:p>
      </dsp:txBody>
      <dsp:txXfrm>
        <a:off x="3507709" y="597386"/>
        <a:ext cx="508518" cy="508518"/>
      </dsp:txXfrm>
    </dsp:sp>
    <dsp:sp modelId="{7E569388-7458-4ACA-AFF4-C822C35267A9}">
      <dsp:nvSpPr>
        <dsp:cNvPr id="0" name=""/>
        <dsp:cNvSpPr/>
      </dsp:nvSpPr>
      <dsp:spPr>
        <a:xfrm>
          <a:off x="3654007" y="1594467"/>
          <a:ext cx="719152" cy="719152"/>
        </a:xfrm>
        <a:prstGeom prst="ellipse">
          <a:avLst/>
        </a:prstGeom>
        <a:solidFill>
          <a:schemeClr val="accent3">
            <a:hueOff val="3750088"/>
            <a:satOff val="-5627"/>
            <a:lumOff val="-915"/>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NZ" sz="800" kern="1200"/>
            <a:t>HNZ</a:t>
          </a:r>
        </a:p>
      </dsp:txBody>
      <dsp:txXfrm>
        <a:off x="3759324" y="1699784"/>
        <a:ext cx="508518" cy="508518"/>
      </dsp:txXfrm>
    </dsp:sp>
    <dsp:sp modelId="{CF83D50D-DB41-45E4-936E-E5FB4B150BA8}">
      <dsp:nvSpPr>
        <dsp:cNvPr id="0" name=""/>
        <dsp:cNvSpPr/>
      </dsp:nvSpPr>
      <dsp:spPr>
        <a:xfrm>
          <a:off x="2948997" y="2478521"/>
          <a:ext cx="719152" cy="719152"/>
        </a:xfrm>
        <a:prstGeom prst="ellipse">
          <a:avLst/>
        </a:prstGeom>
        <a:solidFill>
          <a:schemeClr val="accent3">
            <a:hueOff val="5625132"/>
            <a:satOff val="-8440"/>
            <a:lumOff val="-1373"/>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NZ" sz="800" kern="1200"/>
            <a:t>TPK</a:t>
          </a:r>
        </a:p>
      </dsp:txBody>
      <dsp:txXfrm>
        <a:off x="3054314" y="2583838"/>
        <a:ext cx="508518" cy="508518"/>
      </dsp:txXfrm>
    </dsp:sp>
    <dsp:sp modelId="{EBB2C0E8-DEE0-4806-8495-BB91AFD75731}">
      <dsp:nvSpPr>
        <dsp:cNvPr id="0" name=""/>
        <dsp:cNvSpPr/>
      </dsp:nvSpPr>
      <dsp:spPr>
        <a:xfrm>
          <a:off x="1818249" y="2478521"/>
          <a:ext cx="719152" cy="719152"/>
        </a:xfrm>
        <a:prstGeom prst="ellipse">
          <a:avLst/>
        </a:prstGeom>
        <a:solidFill>
          <a:schemeClr val="accent3">
            <a:hueOff val="7500176"/>
            <a:satOff val="-11253"/>
            <a:lumOff val="-183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NZ" sz="800" kern="1200"/>
            <a:t>NZTA</a:t>
          </a:r>
        </a:p>
      </dsp:txBody>
      <dsp:txXfrm>
        <a:off x="1923566" y="2583838"/>
        <a:ext cx="508518" cy="508518"/>
      </dsp:txXfrm>
    </dsp:sp>
    <dsp:sp modelId="{D682BAD6-709E-4D29-A988-7C5FA3544566}">
      <dsp:nvSpPr>
        <dsp:cNvPr id="0" name=""/>
        <dsp:cNvSpPr/>
      </dsp:nvSpPr>
      <dsp:spPr>
        <a:xfrm>
          <a:off x="1113240" y="1594467"/>
          <a:ext cx="719152" cy="719152"/>
        </a:xfrm>
        <a:prstGeom prst="ellipse">
          <a:avLst/>
        </a:prstGeom>
        <a:solidFill>
          <a:schemeClr val="accent3">
            <a:hueOff val="9375220"/>
            <a:satOff val="-14067"/>
            <a:lumOff val="-2288"/>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NZ" sz="800" kern="1200"/>
            <a:t>Developers</a:t>
          </a:r>
        </a:p>
      </dsp:txBody>
      <dsp:txXfrm>
        <a:off x="1218557" y="1699784"/>
        <a:ext cx="508518" cy="508518"/>
      </dsp:txXfrm>
    </dsp:sp>
    <dsp:sp modelId="{4FE2C199-1A8E-4C71-9E23-81C9A4998FF2}">
      <dsp:nvSpPr>
        <dsp:cNvPr id="0" name=""/>
        <dsp:cNvSpPr/>
      </dsp:nvSpPr>
      <dsp:spPr>
        <a:xfrm>
          <a:off x="1364855" y="492069"/>
          <a:ext cx="719152" cy="719152"/>
        </a:xfrm>
        <a:prstGeom prst="ellipse">
          <a:avLst/>
        </a:prstGeom>
        <a:solidFill>
          <a:schemeClr val="accent3">
            <a:hueOff val="11250264"/>
            <a:satOff val="-16880"/>
            <a:lumOff val="-2745"/>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NZ" sz="800" kern="1200"/>
            <a:t>Community Housing Sector</a:t>
          </a:r>
        </a:p>
      </dsp:txBody>
      <dsp:txXfrm>
        <a:off x="1470172" y="597386"/>
        <a:ext cx="508518" cy="508518"/>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9265</Words>
  <Characters>52811</Characters>
  <Application>Microsoft Office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
    </vt:vector>
  </TitlesOfParts>
  <Company>Tauranga City Council</Company>
  <LinksUpToDate>false</LinksUpToDate>
  <CharactersWithSpaces>61953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fhin</dc:creator>
  <cp:lastModifiedBy>tdcguest</cp:lastModifiedBy>
  <cp:revision>2</cp:revision>
  <cp:lastPrinted>2012-11-28T19:32:00Z</cp:lastPrinted>
  <dcterms:created xsi:type="dcterms:W3CDTF">2016-08-08T02:25:00Z</dcterms:created>
  <dcterms:modified xsi:type="dcterms:W3CDTF">2016-08-08T02:25:00Z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A676967</vt:lpwstr>
  </property>
  <property fmtid="{D5CDD505-2E9C-101B-9397-08002B2CF9AE}" pid="4" name="Objective-Title">
    <vt:lpwstr>Draft SmartGrowth Affordable Housing Report 26 November 2012 post IMG</vt:lpwstr>
  </property>
  <property fmtid="{D5CDD505-2E9C-101B-9397-08002B2CF9AE}" pid="5" name="Objective-Comment">
    <vt:lpwstr/>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Owner">
    <vt:lpwstr>Liz Davies</vt:lpwstr>
  </property>
  <property fmtid="{D5CDD505-2E9C-101B-9397-08002B2CF9AE}" pid="10" name="Objective-Path">
    <vt:lpwstr>Western Bay Global Folder:1. Subject:PF-Resource Management Planning:Subregional:SmartGrowth:Implementation Management Group (SGIMG):.SmartGrowth Review 2012:</vt:lpwstr>
  </property>
  <property fmtid="{D5CDD505-2E9C-101B-9397-08002B2CF9AE}" pid="11" name="Objective-Parent">
    <vt:lpwstr>.SmartGrowth Review 2012</vt:lpwstr>
  </property>
  <property fmtid="{D5CDD505-2E9C-101B-9397-08002B2CF9AE}" pid="12" name="Objective-State">
    <vt:lpwstr>Being Drafted</vt:lpwstr>
  </property>
  <property fmtid="{D5CDD505-2E9C-101B-9397-08002B2CF9AE}" pid="13" name="Objective-Version">
    <vt:lpwstr>0.3</vt:lpwstr>
  </property>
  <property fmtid="{D5CDD505-2E9C-101B-9397-08002B2CF9AE}" pid="14" name="Objective-VersionNumber">
    <vt:i4>3</vt:i4>
  </property>
  <property fmtid="{D5CDD505-2E9C-101B-9397-08002B2CF9AE}" pid="15" name="Objective-VersionComment">
    <vt:lpwstr/>
  </property>
  <property fmtid="{D5CDD505-2E9C-101B-9397-08002B2CF9AE}" pid="16" name="Objective-FileNumber">
    <vt:lpwstr/>
  </property>
  <property fmtid="{D5CDD505-2E9C-101B-9397-08002B2CF9AE}" pid="17" name="Objective-Classification">
    <vt:lpwstr>[Inherited - Internal]</vt:lpwstr>
  </property>
  <property fmtid="{D5CDD505-2E9C-101B-9397-08002B2CF9AE}" pid="18" name="Objective-Caveats">
    <vt:lpwstr/>
  </property>
  <property fmtid="{D5CDD505-2E9C-101B-9397-08002B2CF9AE}" pid="19" name="Objective-Report Type [system]">
    <vt:lpwstr>SmartGrowth</vt:lpwstr>
  </property>
  <property fmtid="{D5CDD505-2E9C-101B-9397-08002B2CF9AE}" pid="20" name="Objective-OzoneBusinessObjectID [system]">
    <vt:lpwstr/>
  </property>
  <property fmtid="{D5CDD505-2E9C-101B-9397-08002B2CF9AE}" pid="21" name="Objective-OzoneRecordID [system]">
    <vt:lpwstr/>
  </property>
  <property fmtid="{D5CDD505-2E9C-101B-9397-08002B2CF9AE}" pid="22" name="Objective-Service Request Number [system]">
    <vt:lpwstr/>
  </property>
  <property fmtid="{D5CDD505-2E9C-101B-9397-08002B2CF9AE}" pid="23" name="Objective-Parcel [system]">
    <vt:lpwstr/>
  </property>
  <property fmtid="{D5CDD505-2E9C-101B-9397-08002B2CF9AE}" pid="24" name="Objective-Parcel Id [system]">
    <vt:lpwstr/>
  </property>
  <property fmtid="{D5CDD505-2E9C-101B-9397-08002B2CF9AE}" pid="25" name="Objective-Document Date [system]">
    <vt:lpwstr/>
  </property>
  <property fmtid="{D5CDD505-2E9C-101B-9397-08002B2CF9AE}" pid="26" name="Objective-Vetted By [system]">
    <vt:lpwstr/>
  </property>
  <property fmtid="{D5CDD505-2E9C-101B-9397-08002B2CF9AE}" pid="27" name="Objective-Vetted Date [system]">
    <vt:lpwstr/>
  </property>
  <property fmtid="{D5CDD505-2E9C-101B-9397-08002B2CF9AE}" pid="28" name="Objective-Archive Box ID [system]">
    <vt:lpwstr/>
  </property>
  <property fmtid="{D5CDD505-2E9C-101B-9397-08002B2CF9AE}" pid="29" name="Objective-PSI Classification [system]">
    <vt:lpwstr/>
  </property>
</Properties>
</file>